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101__20"/>
      <w:bookmarkEnd w:id="2"/>
      <w:r>
        <w:rPr>
          <w:rFonts w:ascii="Times New Roman;Times;Serif" w:hAnsi="Times New Roman;Times;Serif"/>
          <w:b/>
          <w:i w:val="false"/>
          <w:caps w:val="false"/>
          <w:smallCaps w:val="false"/>
          <w:sz w:val="36"/>
        </w:rPr>
        <w:t>10-Q</w:t>
      </w:r>
    </w:p>
    <w:p>
      <w:pPr>
        <w:pStyle w:val="TextBody"/>
        <w:bidi w:val="0"/>
        <w:jc w:val="both"/>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both"/>
              <w:rPr>
                <w:caps w:val="false"/>
                <w:smallCaps w:val="false"/>
              </w:rPr>
            </w:pPr>
            <w:bookmarkStart w:id="3" w:name="xdx_900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6_edei--DocumentPeriodEndDate_c202"/>
      <w:bookmarkEnd w:id="4"/>
      <w:r>
        <w:rPr>
          <w:rFonts w:ascii="Times New Roman;Times;Serif" w:hAnsi="Times New Roman;Times;Serif"/>
          <w:b/>
          <w:i w:val="false"/>
          <w:caps w:val="false"/>
          <w:smallCaps w:val="false"/>
          <w:sz w:val="20"/>
        </w:rPr>
        <w:t xml:space="preserve">March 31, </w:t>
      </w:r>
      <w:bookmarkStart w:id="5" w:name="xdx_90F_edei--DocumentFiscalYearFocus_c2"/>
      <w:bookmarkEnd w:id="5"/>
      <w:r>
        <w:rPr>
          <w:rFonts w:ascii="Times New Roman;Times;Serif" w:hAnsi="Times New Roman;Times;Serif"/>
          <w:b/>
          <w:i w:val="false"/>
          <w:caps w:val="false"/>
          <w:smallCaps w:val="false"/>
          <w:sz w:val="20"/>
        </w:rPr>
        <w:t>2026</w:t>
      </w:r>
    </w:p>
    <w:p>
      <w:pPr>
        <w:pStyle w:val="TextBody"/>
        <w:bidi w:val="0"/>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3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 20___, to _____, 20___.</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1_edei--EntityFileNumber_c20260101"/>
      <w:bookmarkEnd w:id="7"/>
      <w:r>
        <w:rPr>
          <w:rFonts w:ascii="Times New Roman;Times;Serif" w:hAnsi="Times New Roman;Times;Serif"/>
          <w:b/>
          <w:i w:val="false"/>
          <w:caps w:val="false"/>
          <w:smallCaps w:val="false"/>
          <w:sz w:val="20"/>
        </w:rPr>
        <w:t>001-41204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8" w:name="xdx_900_edei--EntityRegistrantName_c2026"/>
      <w:bookmarkEnd w:id="8"/>
      <w:r>
        <w:rPr>
          <w:rFonts w:ascii="Times New Roman;Times;Serif" w:hAnsi="Times New Roman;Times;Serif"/>
          <w:b/>
          <w:i w:val="false"/>
          <w:caps w:val="false"/>
          <w:smallCaps w:val="false"/>
          <w:sz w:val="36"/>
        </w:rPr>
        <w:t>Hour Loop,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both"/>
        <w:rPr>
          <w:caps w:val="false"/>
          <w:smallCaps w:val="false"/>
        </w:rPr>
      </w:pPr>
      <w:r>
        <w:rPr>
          <w:caps w:val="false"/>
          <w:smallCaps w:val="false"/>
        </w:rPr>
        <w:t> </w:t>
      </w:r>
    </w:p>
    <w:tbl>
      <w:tblPr>
        <w:tblW w:w="4480" w:type="dxa"/>
        <w:jc w:val="left"/>
        <w:tblInd w:w="0" w:type="dxa"/>
        <w:tblLayout w:type="fixed"/>
        <w:tblCellMar>
          <w:top w:w="0" w:type="dxa"/>
          <w:left w:w="0" w:type="dxa"/>
          <w:bottom w:w="28" w:type="dxa"/>
          <w:right w:w="0" w:type="dxa"/>
        </w:tblCellMar>
      </w:tblPr>
      <w:tblGrid>
        <w:gridCol w:w="2525"/>
        <w:gridCol w:w="60"/>
        <w:gridCol w:w="1895"/>
      </w:tblGrid>
      <w:tr>
        <w:trPr/>
        <w:tc>
          <w:tcPr>
            <w:tcW w:w="25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3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1_edei--EntityTaxIdentificationNum"/>
            <w:bookmarkEnd w:id="10"/>
            <w:r>
              <w:rPr>
                <w:rFonts w:ascii="Times New Roman;Times;Serif" w:hAnsi="Times New Roman;Times;Serif"/>
                <w:b/>
                <w:i w:val="false"/>
                <w:caps w:val="false"/>
                <w:smallCaps w:val="false"/>
                <w:sz w:val="20"/>
              </w:rPr>
              <w:t>47-2869399</w:t>
            </w:r>
          </w:p>
        </w:tc>
      </w:tr>
      <w:tr>
        <w:trPr/>
        <w:tc>
          <w:tcPr>
            <w:tcW w:w="252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jc w:val="left"/>
        <w:rPr>
          <w:caps w:val="false"/>
          <w:smallCaps w:val="false"/>
        </w:rPr>
      </w:pPr>
      <w:r>
        <w:rPr>
          <w:caps w:val="false"/>
          <w:smallCaps w:val="false"/>
        </w:rPr>
        <w:t> </w:t>
      </w:r>
    </w:p>
    <w:tbl>
      <w:tblPr>
        <w:tblW w:w="4375" w:type="dxa"/>
        <w:jc w:val="left"/>
        <w:tblInd w:w="0" w:type="dxa"/>
        <w:tblLayout w:type="fixed"/>
        <w:tblCellMar>
          <w:top w:w="0" w:type="dxa"/>
          <w:left w:w="0" w:type="dxa"/>
          <w:bottom w:w="28" w:type="dxa"/>
          <w:right w:w="0" w:type="dxa"/>
        </w:tblCellMar>
      </w:tblPr>
      <w:tblGrid>
        <w:gridCol w:w="3275"/>
        <w:gridCol w:w="60"/>
        <w:gridCol w:w="1040"/>
      </w:tblGrid>
      <w:tr>
        <w:trPr/>
        <w:tc>
          <w:tcPr>
            <w:tcW w:w="3275" w:type="dxa"/>
            <w:tcBorders>
              <w:bottom w:val="single" w:sz="8"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bookmarkStart w:id="11" w:name="xdx_90E_edei--EntityAddressAddressLine1_"/>
            <w:bookmarkEnd w:id="11"/>
            <w:r>
              <w:rPr>
                <w:rFonts w:ascii="Times New Roman;Times;Serif" w:hAnsi="Times New Roman;Times;Serif"/>
                <w:b/>
                <w:i w:val="false"/>
                <w:caps w:val="false"/>
                <w:smallCaps w:val="false"/>
                <w:sz w:val="20"/>
              </w:rPr>
              <w:t>8201 164</w:t>
            </w:r>
            <w:r>
              <w:rPr>
                <w:rFonts w:ascii="Times New Roman;Times;Serif" w:hAnsi="Times New Roman;Times;Serif"/>
                <w:b/>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w:t>
            </w:r>
            <w:bookmarkStart w:id="12" w:name="xdx_90A_edei--EntityAddressAddressLine2_"/>
            <w:bookmarkEnd w:id="12"/>
            <w:r>
              <w:rPr>
                <w:rFonts w:ascii="Times New Roman;Times;Serif" w:hAnsi="Times New Roman;Times;Serif"/>
                <w:b/>
                <w:i w:val="false"/>
                <w:caps w:val="false"/>
                <w:smallCaps w:val="false"/>
                <w:sz w:val="20"/>
              </w:rPr>
              <w:t>Ave. NE</w:t>
            </w:r>
          </w:p>
          <w:p>
            <w:pPr>
              <w:pStyle w:val="TableContents"/>
              <w:bidi w:val="0"/>
              <w:spacing w:before="0" w:after="283"/>
              <w:jc w:val="center"/>
              <w:rPr>
                <w:rFonts w:ascii="Times New Roman;Times;Serif" w:hAnsi="Times New Roman;Times;Serif"/>
                <w:b/>
                <w:i w:val="false"/>
                <w:caps w:val="false"/>
                <w:smallCaps w:val="false"/>
                <w:sz w:val="20"/>
              </w:rPr>
            </w:pPr>
            <w:bookmarkStart w:id="13" w:name="xdx_90A_edei--EntityAddressCityOrTown_c2"/>
            <w:bookmarkEnd w:id="13"/>
            <w:r>
              <w:rPr>
                <w:rFonts w:ascii="Times New Roman;Times;Serif" w:hAnsi="Times New Roman;Times;Serif"/>
                <w:b/>
                <w:i w:val="false"/>
                <w:caps w:val="false"/>
                <w:smallCaps w:val="false"/>
                <w:sz w:val="20"/>
              </w:rPr>
              <w:t xml:space="preserve">Redmond, </w:t>
            </w:r>
            <w:bookmarkStart w:id="14" w:name="xdx_909_edei--EntityAddressStateOrProvin"/>
            <w:bookmarkEnd w:id="14"/>
            <w:r>
              <w:rPr>
                <w:rFonts w:ascii="Times New Roman;Times;Serif" w:hAnsi="Times New Roman;Times;Serif"/>
                <w:b/>
                <w:i w:val="false"/>
                <w:caps w:val="false"/>
                <w:smallCaps w:val="false"/>
                <w:sz w:val="20"/>
              </w:rPr>
              <w:t>WA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D_edei--EntityAddressPostalZipCode"/>
            <w:bookmarkEnd w:id="15"/>
            <w:r>
              <w:rPr>
                <w:rFonts w:ascii="Times New Roman;Times;Serif" w:hAnsi="Times New Roman;Times;Serif"/>
                <w:b/>
                <w:i w:val="false"/>
                <w:caps w:val="false"/>
                <w:smallCaps w:val="false"/>
                <w:sz w:val="20"/>
              </w:rPr>
              <w:t>98052-7615</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bookmarkStart w:id="16" w:name="xdx_909_edei--CityAreaCode_c20260101__20"/>
      <w:bookmarkEnd w:id="16"/>
      <w:r>
        <w:rPr>
          <w:rFonts w:ascii="Times New Roman;Times;Serif" w:hAnsi="Times New Roman;Times;Serif"/>
          <w:b/>
          <w:i w:val="false"/>
          <w:caps w:val="false"/>
          <w:smallCaps w:val="false"/>
          <w:sz w:val="20"/>
          <w:u w:val="single"/>
        </w:rPr>
        <w:t xml:space="preserve">(206) </w:t>
      </w:r>
      <w:bookmarkStart w:id="17" w:name="xdx_90B_edei--LocalPhoneNumber_c20260101"/>
      <w:bookmarkEnd w:id="17"/>
      <w:r>
        <w:rPr>
          <w:rFonts w:ascii="Times New Roman;Times;Serif" w:hAnsi="Times New Roman;Times;Serif"/>
          <w:b/>
          <w:i w:val="false"/>
          <w:caps w:val="false"/>
          <w:smallCaps w:val="false"/>
          <w:sz w:val="20"/>
          <w:u w:val="single"/>
        </w:rPr>
        <w:t>385-0488, ext. 100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7065" w:type="dxa"/>
        <w:jc w:val="left"/>
        <w:tblInd w:w="0" w:type="dxa"/>
        <w:tblLayout w:type="fixed"/>
        <w:tblCellMar>
          <w:top w:w="0" w:type="dxa"/>
          <w:left w:w="0" w:type="dxa"/>
          <w:bottom w:w="28" w:type="dxa"/>
          <w:right w:w="0" w:type="dxa"/>
        </w:tblCellMar>
      </w:tblPr>
      <w:tblGrid>
        <w:gridCol w:w="1535"/>
        <w:gridCol w:w="60"/>
        <w:gridCol w:w="1610"/>
        <w:gridCol w:w="60"/>
        <w:gridCol w:w="380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Security12bTitle_c20260101"/>
            <w:bookmarkEnd w:id="18"/>
            <w:r>
              <w:rPr>
                <w:rFonts w:ascii="Times New Roman;Times;Serif" w:hAnsi="Times New Roman;Times;Serif"/>
                <w:b w:val="false"/>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TradingSymbol_c20260101__2"/>
            <w:bookmarkEnd w:id="19"/>
            <w:r>
              <w:rPr>
                <w:rFonts w:ascii="Times New Roman;Times;Serif" w:hAnsi="Times New Roman;Times;Serif"/>
                <w:b w:val="false"/>
                <w:i w:val="false"/>
                <w:caps w:val="false"/>
                <w:smallCaps w:val="false"/>
                <w:sz w:val="20"/>
              </w:rPr>
              <w:t>HOUR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B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7_edei--EntityCurrentReportingStat"/>
      <w:bookmarkEnd w:id="21"/>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7_edei--EntityInteractiveDataCurre"/>
      <w:bookmarkEnd w:id="22"/>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2_edei--EntityFilerCategory_c2026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4" w:name="xdx_90D_edei--EntitySmallBusiness_c20260"/>
            <w:bookmarkEnd w:id="24"/>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5" w:name="xdx_90F_edei--EntityEmergingGrowthCompan"/>
            <w:bookmarkEnd w:id="25"/>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9_edei--EntityExTransitionPeriod_c"/>
      <w:bookmarkEnd w:id="26"/>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7" w:name="xdx_90A_edei--EntityShellCompany_dbF_c20"/>
      <w:bookmarkEnd w:id="27"/>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12, 2026, there were </w:t>
      </w:r>
      <w:bookmarkStart w:id="28" w:name="xdx_908_edei--EntityCommonStockSharesOut"/>
      <w:bookmarkEnd w:id="28"/>
      <w:r>
        <w:rPr>
          <w:rFonts w:ascii="Times New Roman;Times;Serif" w:hAnsi="Times New Roman;Times;Serif"/>
          <w:b w:val="false"/>
          <w:i w:val="false"/>
          <w:caps w:val="false"/>
          <w:smallCaps w:val="false"/>
          <w:sz w:val="20"/>
        </w:rPr>
        <w:t>35,191,890 shares of common stock, par value $</w:t>
      </w:r>
      <w:bookmarkStart w:id="29" w:name="xdx_907_edei--EntityListingParValuePerSh"/>
      <w:bookmarkEnd w:id="29"/>
      <w:r>
        <w:rPr>
          <w:rFonts w:ascii="Times New Roman;Times;Serif" w:hAnsi="Times New Roman;Times;Serif"/>
          <w:b w:val="false"/>
          <w:i w:val="false"/>
          <w:caps w:val="false"/>
          <w:smallCaps w:val="false"/>
          <w:sz w:val="20"/>
        </w:rPr>
        <w:t>0.0001 per share, of the registrant issued and outstanding.</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jc w:val="center"/>
        <w:rPr>
          <w:caps w:val="false"/>
          <w:smallCaps w:val="false"/>
        </w:rPr>
      </w:pPr>
      <w:r>
        <w:rPr>
          <w:caps w:val="false"/>
          <w:smallCaps w:val="false"/>
        </w:rPr>
        <w:t> </w:t>
      </w:r>
    </w:p>
    <w:tbl>
      <w:tblPr>
        <w:tblW w:w="8670" w:type="dxa"/>
        <w:jc w:val="left"/>
        <w:tblInd w:w="0" w:type="dxa"/>
        <w:tblLayout w:type="fixed"/>
        <w:tblCellMar>
          <w:top w:w="0" w:type="dxa"/>
          <w:left w:w="0" w:type="dxa"/>
          <w:bottom w:w="0" w:type="dxa"/>
          <w:right w:w="0" w:type="dxa"/>
        </w:tblCellMar>
      </w:tblPr>
      <w:tblGrid>
        <w:gridCol w:w="935"/>
        <w:gridCol w:w="7280"/>
        <w:gridCol w:w="455"/>
      </w:tblGrid>
      <w:tr>
        <w:trPr/>
        <w:tc>
          <w:tcPr>
            <w:tcW w:w="82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21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FINANCIAL INFORMATION</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aq_001">
              <w:r>
                <w:rPr>
                  <w:rStyle w:val="InternetLink"/>
                  <w:rFonts w:ascii="Times New Roman;Times;Serif" w:hAnsi="Times New Roman;Times;Serif"/>
                  <w:b w:val="false"/>
                  <w:i w:val="false"/>
                  <w:caps w:val="false"/>
                  <w:smallCaps w:val="false"/>
                  <w:sz w:val="20"/>
                </w:rPr>
                <w:t>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aq_00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aq_003">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aq_004">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215" w:type="dxa"/>
            <w:gridSpan w:val="2"/>
            <w:tcBorders/>
            <w:shd w:fill="CCEEFF" w:val="clear"/>
            <w:vAlign w:val="center"/>
          </w:tcPr>
          <w:p>
            <w:pPr>
              <w:pStyle w:val="TableContents"/>
              <w:bidi w:val="0"/>
              <w:spacing w:before="0" w:after="283"/>
              <w:jc w:val="left"/>
              <w:rPr/>
            </w:pPr>
            <w:hyperlink w:anchor="aq_005">
              <w:r>
                <w:rPr>
                  <w:rStyle w:val="InternetLink"/>
                  <w:rFonts w:ascii="Times New Roman;Times;Serif" w:hAnsi="Times New Roman;Times;Serif"/>
                  <w:b/>
                  <w:i w:val="false"/>
                  <w:caps w:val="false"/>
                  <w:smallCaps w:val="false"/>
                  <w:sz w:val="20"/>
                </w:rPr>
                <w:t>PART II - 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aq_006">
              <w:r>
                <w:rPr>
                  <w:rStyle w:val="InternetLink"/>
                  <w:rFonts w:ascii="Times New Roman;Times;Serif" w:hAnsi="Times New Roman;Times;Serif"/>
                  <w:b w:val="false"/>
                  <w:i w:val="false"/>
                  <w:caps w:val="false"/>
                  <w:smallCaps w:val="false"/>
                  <w:sz w:val="20"/>
                </w:rPr>
                <w:t>Legal Proceedings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CCEEFF" w:val="clear"/>
            <w:vAlign w:val="center"/>
          </w:tcPr>
          <w:p>
            <w:pPr>
              <w:pStyle w:val="TableContents"/>
              <w:bidi w:val="0"/>
              <w:spacing w:before="0" w:after="283"/>
              <w:jc w:val="left"/>
              <w:rPr/>
            </w:pPr>
            <w:hyperlink w:anchor="aq_007">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aq_008">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aq_009">
              <w:r>
                <w:rPr>
                  <w:rStyle w:val="InternetLink"/>
                  <w:rFonts w:ascii="Times New Roman;Times;Serif" w:hAnsi="Times New Roman;Times;Serif"/>
                  <w:b w:val="false"/>
                  <w:i w:val="false"/>
                  <w:caps w:val="false"/>
                  <w:smallCaps w:val="false"/>
                  <w:sz w:val="20"/>
                </w:rPr>
                <w:t>Defaults Upon Senior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aq_010">
              <w:r>
                <w:rPr>
                  <w:rStyle w:val="InternetLink"/>
                  <w:rFonts w:ascii="Times New Roman;Times;Serif" w:hAnsi="Times New Roman;Times;Serif"/>
                  <w:b w:val="false"/>
                  <w:i w:val="false"/>
                  <w:caps w:val="false"/>
                  <w:smallCaps w:val="false"/>
                  <w:sz w:val="20"/>
                </w:rPr>
                <w:t>Mine Safety Disclosures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CCEEFF" w:val="clear"/>
            <w:vAlign w:val="center"/>
          </w:tcPr>
          <w:p>
            <w:pPr>
              <w:pStyle w:val="TableContents"/>
              <w:bidi w:val="0"/>
              <w:spacing w:before="0" w:after="283"/>
              <w:jc w:val="left"/>
              <w:rPr/>
            </w:pPr>
            <w:hyperlink w:anchor="aq_011">
              <w:r>
                <w:rPr>
                  <w:rStyle w:val="InternetLink"/>
                  <w:rFonts w:ascii="Times New Roman;Times;Serif" w:hAnsi="Times New Roman;Times;Serif"/>
                  <w:b w:val="false"/>
                  <w:i w:val="false"/>
                  <w:caps w:val="false"/>
                  <w:smallCaps w:val="false"/>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aq_012">
              <w:r>
                <w:rPr>
                  <w:rStyle w:val="InternetLink"/>
                  <w:rFonts w:ascii="Times New Roman;Times;Serif" w:hAnsi="Times New Roman;Times;Serif"/>
                  <w:b w:val="false"/>
                  <w:i w:val="false"/>
                  <w:caps w:val="false"/>
                  <w:smallCaps w:val="false"/>
                  <w:sz w:val="20"/>
                </w:rPr>
                <w:t>Exhibits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pPr>
            <w:hyperlink w:anchor="aq_013">
              <w:r>
                <w:rPr>
                  <w:rStyle w:val="InternetLink"/>
                  <w:rFonts w:ascii="Times New Roman;Times;Serif" w:hAnsi="Times New Roman;Times;Serif"/>
                  <w:b/>
                  <w:i w:val="false"/>
                  <w:caps w:val="false"/>
                  <w:smallCaps w:val="false"/>
                  <w:sz w:val="20"/>
                </w:rPr>
                <w:t>Signatures</w:t>
              </w:r>
            </w:hyperlink>
          </w:p>
        </w:tc>
        <w:tc>
          <w:tcPr>
            <w:tcW w:w="7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30" w:name="aq_001"/>
      <w:bookmarkEnd w:id="30"/>
      <w:r>
        <w:rPr>
          <w:rFonts w:ascii="Times New Roman;Times;Serif" w:hAnsi="Times New Roman;Times;Serif"/>
          <w:b/>
          <w:i w:val="false"/>
          <w:caps w:val="false"/>
          <w:smallCaps w:val="false"/>
          <w:sz w:val="20"/>
        </w:rPr>
        <w:t>Item 1.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except for share and per share data)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 and December 31, 2025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0_111_zuutLj05qJN8"/>
      <w:bookmarkStart w:id="32" w:name="xdx_300_111_zuutLj05qJN8"/>
      <w:bookmarkEnd w:id="32"/>
    </w:p>
    <w:tbl>
      <w:tblPr>
        <w:tblW w:w="10205" w:type="dxa"/>
        <w:jc w:val="left"/>
        <w:tblInd w:w="0" w:type="dxa"/>
        <w:tblLayout w:type="fixed"/>
        <w:tblCellMar>
          <w:top w:w="0" w:type="dxa"/>
          <w:left w:w="0" w:type="dxa"/>
          <w:bottom w:w="0" w:type="dxa"/>
          <w:right w:w="0" w:type="dxa"/>
        </w:tblCellMar>
      </w:tblPr>
      <w:tblGrid>
        <w:gridCol w:w="7158"/>
        <w:gridCol w:w="60"/>
        <w:gridCol w:w="150"/>
        <w:gridCol w:w="1185"/>
        <w:gridCol w:w="60"/>
        <w:gridCol w:w="60"/>
        <w:gridCol w:w="163"/>
        <w:gridCol w:w="1290"/>
        <w:gridCol w:w="79"/>
      </w:tblGrid>
      <w:tr>
        <w:trPr/>
        <w:tc>
          <w:tcPr>
            <w:tcW w:w="71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 w:name="xdx_494_20260331_zE2wP4EPbq5l"/>
            <w:bookmarkEnd w:id="33"/>
          </w:p>
        </w:tc>
        <w:tc>
          <w:tcPr>
            <w:tcW w:w="1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D_20251231_zLBMmAZicnk7"/>
            <w:bookmarkEnd w:id="34"/>
          </w:p>
        </w:tc>
        <w:tc>
          <w:tcPr>
            <w:tcW w:w="14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79" w:type="dxa"/>
            <w:tcBorders/>
            <w:vAlign w:val="center"/>
          </w:tcPr>
          <w:p>
            <w:pPr>
              <w:pStyle w:val="TableContents"/>
              <w:bidi w:val="0"/>
              <w:spacing w:before="0" w:after="283"/>
              <w:jc w:val="left"/>
              <w:rPr/>
            </w:pPr>
            <w:r>
              <w:rPr/>
              <w:t> </w:t>
            </w:r>
          </w:p>
        </w:tc>
      </w:tr>
      <w:tr>
        <w:trPr/>
        <w:tc>
          <w:tcPr>
            <w:tcW w:w="7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bookmarkStart w:id="35" w:name="xdx_402_eus-gaap--AssetsAbstract_iB_zig9"/>
            <w:bookmarkEnd w:id="35"/>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36" w:name="xdx_406_eus-gaap--AssetsCurrentAbstract_"/>
            <w:bookmarkEnd w:id="36"/>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37" w:name="xdx_408_eus-gaap--Cash_i02I_maCzlRt_zYnE"/>
            <w:bookmarkEnd w:id="37"/>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992,886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3,792,033</w:t>
            </w:r>
          </w:p>
        </w:tc>
        <w:tc>
          <w:tcPr>
            <w:tcW w:w="79" w:type="dxa"/>
            <w:tcBorders/>
            <w:shd w:fill="CCEEFF" w:val="clear"/>
            <w:vAlign w:val="center"/>
          </w:tcPr>
          <w:p>
            <w:pPr>
              <w:pStyle w:val="TableContents"/>
              <w:bidi w:val="0"/>
              <w:spacing w:before="0" w:after="283"/>
              <w:jc w:val="left"/>
              <w:rPr/>
            </w:pPr>
            <w:r>
              <w:rPr/>
              <w:t> </w:t>
            </w:r>
            <w:bookmarkStart w:id="38" w:name="xdx_408_eus-gaap--AccountsReceivableNetC"/>
            <w:bookmarkEnd w:id="38"/>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865,136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235,959</w:t>
            </w:r>
          </w:p>
        </w:tc>
        <w:tc>
          <w:tcPr>
            <w:tcW w:w="79" w:type="dxa"/>
            <w:tcBorders/>
            <w:shd w:fill="FFFFFF" w:val="clear"/>
            <w:vAlign w:val="center"/>
          </w:tcPr>
          <w:p>
            <w:pPr>
              <w:pStyle w:val="TableContents"/>
              <w:bidi w:val="0"/>
              <w:spacing w:before="0" w:after="283"/>
              <w:jc w:val="left"/>
              <w:rPr/>
            </w:pPr>
            <w:r>
              <w:rPr/>
              <w:t> </w:t>
            </w:r>
            <w:bookmarkStart w:id="39" w:name="xdx_400_eus-gaap--InventoryNet_i02I_maCz"/>
            <w:bookmarkEnd w:id="39"/>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21,087,764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18,298,935</w:t>
            </w:r>
          </w:p>
        </w:tc>
        <w:tc>
          <w:tcPr>
            <w:tcW w:w="79" w:type="dxa"/>
            <w:tcBorders/>
            <w:shd w:fill="CCEEFF" w:val="clear"/>
            <w:vAlign w:val="center"/>
          </w:tcPr>
          <w:p>
            <w:pPr>
              <w:pStyle w:val="TableContents"/>
              <w:bidi w:val="0"/>
              <w:spacing w:before="0" w:after="283"/>
              <w:jc w:val="left"/>
              <w:rPr/>
            </w:pPr>
            <w:r>
              <w:rPr/>
              <w:t> </w:t>
            </w:r>
            <w:bookmarkStart w:id="40" w:name="xdx_40C_eus-gaap--PrepaidExpenseAndOther"/>
            <w:bookmarkEnd w:id="40"/>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815,044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619,261</w:t>
            </w:r>
          </w:p>
        </w:tc>
        <w:tc>
          <w:tcPr>
            <w:tcW w:w="79" w:type="dxa"/>
            <w:tcBorders/>
            <w:shd w:fill="FFFFFF" w:val="clear"/>
            <w:vAlign w:val="center"/>
          </w:tcPr>
          <w:p>
            <w:pPr>
              <w:pStyle w:val="TableContents"/>
              <w:bidi w:val="0"/>
              <w:spacing w:before="0" w:after="283"/>
              <w:jc w:val="left"/>
              <w:rPr/>
            </w:pPr>
            <w:r>
              <w:rPr/>
              <w:t> </w:t>
            </w:r>
            <w:bookmarkStart w:id="41" w:name="xdx_40D_eus-gaap--AssetsCurrent_i02TI_mt"/>
            <w:bookmarkEnd w:id="41"/>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23,760,830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22,946,188</w:t>
            </w:r>
          </w:p>
        </w:tc>
        <w:tc>
          <w:tcPr>
            <w:tcW w:w="79"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42" w:name="xdx_40F_eus-gaap--PropertyPlantAndEquipm"/>
            <w:bookmarkEnd w:id="42"/>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87,666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95,917</w:t>
            </w:r>
          </w:p>
        </w:tc>
        <w:tc>
          <w:tcPr>
            <w:tcW w:w="79" w:type="dxa"/>
            <w:tcBorders/>
            <w:shd w:fill="CCEEFF" w:val="clear"/>
            <w:vAlign w:val="center"/>
          </w:tcPr>
          <w:p>
            <w:pPr>
              <w:pStyle w:val="TableContents"/>
              <w:bidi w:val="0"/>
              <w:spacing w:before="0" w:after="283"/>
              <w:jc w:val="left"/>
              <w:rPr/>
            </w:pPr>
            <w:r>
              <w:rPr/>
              <w:t> </w:t>
            </w:r>
            <w:bookmarkStart w:id="43" w:name="xdx_405_eus-gaap--DeferredIncomeTaxAsset"/>
            <w:bookmarkEnd w:id="43"/>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398,429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609,964</w:t>
            </w:r>
          </w:p>
        </w:tc>
        <w:tc>
          <w:tcPr>
            <w:tcW w:w="79" w:type="dxa"/>
            <w:tcBorders/>
            <w:shd w:fill="FFFFFF" w:val="clear"/>
            <w:vAlign w:val="center"/>
          </w:tcPr>
          <w:p>
            <w:pPr>
              <w:pStyle w:val="TableContents"/>
              <w:bidi w:val="0"/>
              <w:spacing w:before="0" w:after="283"/>
              <w:jc w:val="left"/>
              <w:rPr/>
            </w:pPr>
            <w:r>
              <w:rPr/>
              <w:t> </w:t>
            </w:r>
            <w:bookmarkStart w:id="44" w:name="xdx_409_eus-gaap--OperatingLeaseRightOfU"/>
            <w:bookmarkEnd w:id="44"/>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lease assets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145,424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169,368</w:t>
            </w:r>
          </w:p>
        </w:tc>
        <w:tc>
          <w:tcPr>
            <w:tcW w:w="79" w:type="dxa"/>
            <w:tcBorders/>
            <w:shd w:fill="CCEEFF" w:val="clear"/>
            <w:vAlign w:val="center"/>
          </w:tcPr>
          <w:p>
            <w:pPr>
              <w:pStyle w:val="TableContents"/>
              <w:bidi w:val="0"/>
              <w:spacing w:before="0" w:after="283"/>
              <w:jc w:val="left"/>
              <w:rPr/>
            </w:pPr>
            <w:r>
              <w:rPr/>
              <w:t> </w:t>
            </w:r>
            <w:bookmarkStart w:id="45" w:name="xdx_406_eus-gaap--AssetsNoncurrent_i01TI"/>
            <w:bookmarkEnd w:id="45"/>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non-current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631,519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875,249</w:t>
            </w:r>
          </w:p>
        </w:tc>
        <w:tc>
          <w:tcPr>
            <w:tcW w:w="79" w:type="dxa"/>
            <w:tcBorders/>
            <w:shd w:fill="FFFFFF" w:val="clear"/>
            <w:vAlign w:val="center"/>
          </w:tcPr>
          <w:p>
            <w:pPr>
              <w:pStyle w:val="TableContents"/>
              <w:bidi w:val="0"/>
              <w:spacing w:before="0" w:after="283"/>
              <w:jc w:val="left"/>
              <w:rPr/>
            </w:pPr>
            <w:r>
              <w:rPr/>
              <w:t> </w:t>
            </w:r>
            <w:bookmarkStart w:id="46" w:name="xdx_40B_eus-gaap--Assets_i01TI_mtCz0Ul_z"/>
            <w:bookmarkEnd w:id="46"/>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24,392,349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23,821,437</w:t>
            </w:r>
          </w:p>
        </w:tc>
        <w:tc>
          <w:tcPr>
            <w:tcW w:w="79"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47" w:name="xdx_409_eus-gaap--LiabilitiesAndStockhol"/>
            <w:bookmarkEnd w:id="47"/>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48" w:name="xdx_406_eus-gaap--LiabilitiesCurrentAbst"/>
            <w:bookmarkEnd w:id="48"/>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49" w:name="xdx_40C_eus-gaap--AccountsPayableCurrent"/>
            <w:bookmarkEnd w:id="49"/>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9,784,011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6,200,526</w:t>
            </w:r>
          </w:p>
        </w:tc>
        <w:tc>
          <w:tcPr>
            <w:tcW w:w="79" w:type="dxa"/>
            <w:tcBorders/>
            <w:shd w:fill="CCEEFF" w:val="clear"/>
            <w:vAlign w:val="center"/>
          </w:tcPr>
          <w:p>
            <w:pPr>
              <w:pStyle w:val="TableContents"/>
              <w:bidi w:val="0"/>
              <w:spacing w:before="0" w:after="283"/>
              <w:jc w:val="left"/>
              <w:rPr/>
            </w:pPr>
            <w:r>
              <w:rPr/>
              <w:t> </w:t>
            </w:r>
            <w:bookmarkStart w:id="50" w:name="xdx_40A_ecustom--CreditCardsPayable_i02I"/>
            <w:bookmarkEnd w:id="50"/>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Credit cards payable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3,068,467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3,707,976</w:t>
            </w:r>
          </w:p>
        </w:tc>
        <w:tc>
          <w:tcPr>
            <w:tcW w:w="79" w:type="dxa"/>
            <w:tcBorders/>
            <w:shd w:fill="FFFFFF" w:val="clear"/>
            <w:vAlign w:val="center"/>
          </w:tcPr>
          <w:p>
            <w:pPr>
              <w:pStyle w:val="TableContents"/>
              <w:bidi w:val="0"/>
              <w:spacing w:before="0" w:after="283"/>
              <w:jc w:val="left"/>
              <w:rPr/>
            </w:pPr>
            <w:r>
              <w:rPr/>
              <w:t> </w:t>
            </w:r>
            <w:bookmarkStart w:id="51" w:name="xdx_40A_eus-gaap--LinesOfCreditCurrent_i"/>
            <w:bookmarkEnd w:id="51"/>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loan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626,076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637,348</w:t>
            </w:r>
          </w:p>
        </w:tc>
        <w:tc>
          <w:tcPr>
            <w:tcW w:w="79" w:type="dxa"/>
            <w:tcBorders/>
            <w:shd w:fill="CCEEFF" w:val="clear"/>
            <w:vAlign w:val="center"/>
          </w:tcPr>
          <w:p>
            <w:pPr>
              <w:pStyle w:val="TableContents"/>
              <w:bidi w:val="0"/>
              <w:spacing w:before="0" w:after="283"/>
              <w:jc w:val="left"/>
              <w:rPr/>
            </w:pPr>
            <w:r>
              <w:rPr/>
              <w:t> </w:t>
            </w:r>
            <w:bookmarkStart w:id="52" w:name="xdx_408_eus-gaap--OperatingLeaseLiabilit"/>
            <w:bookmarkEnd w:id="52"/>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liabilities-current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90,728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92,362</w:t>
            </w:r>
          </w:p>
        </w:tc>
        <w:tc>
          <w:tcPr>
            <w:tcW w:w="79" w:type="dxa"/>
            <w:tcBorders/>
            <w:shd w:fill="FFFFFF" w:val="clear"/>
            <w:vAlign w:val="center"/>
          </w:tcPr>
          <w:p>
            <w:pPr>
              <w:pStyle w:val="TableContents"/>
              <w:bidi w:val="0"/>
              <w:spacing w:before="0" w:after="283"/>
              <w:jc w:val="left"/>
              <w:rPr/>
            </w:pPr>
            <w:r>
              <w:rPr/>
              <w:t> </w:t>
            </w:r>
            <w:bookmarkStart w:id="53" w:name="xdx_400_eus-gaap--AccruedIncomeTaxesCurr"/>
            <w:bookmarkEnd w:id="53"/>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105,962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51,147</w:t>
            </w:r>
          </w:p>
        </w:tc>
        <w:tc>
          <w:tcPr>
            <w:tcW w:w="79" w:type="dxa"/>
            <w:tcBorders/>
            <w:shd w:fill="CCEEFF" w:val="clear"/>
            <w:vAlign w:val="center"/>
          </w:tcPr>
          <w:p>
            <w:pPr>
              <w:pStyle w:val="TableContents"/>
              <w:bidi w:val="0"/>
              <w:spacing w:before="0" w:after="283"/>
              <w:jc w:val="left"/>
              <w:rPr/>
            </w:pPr>
            <w:r>
              <w:rPr/>
              <w:t> </w:t>
            </w:r>
            <w:bookmarkStart w:id="54" w:name="xdx_400_eus-gaap--AccruedLiabilitiesAndO"/>
            <w:bookmarkEnd w:id="54"/>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764,060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2,226,387</w:t>
            </w:r>
          </w:p>
        </w:tc>
        <w:tc>
          <w:tcPr>
            <w:tcW w:w="79" w:type="dxa"/>
            <w:tcBorders/>
            <w:shd w:fill="FFFFFF" w:val="clear"/>
            <w:vAlign w:val="center"/>
          </w:tcPr>
          <w:p>
            <w:pPr>
              <w:pStyle w:val="TableContents"/>
              <w:bidi w:val="0"/>
              <w:spacing w:before="0" w:after="283"/>
              <w:jc w:val="left"/>
              <w:rPr/>
            </w:pPr>
            <w:r>
              <w:rPr/>
              <w:t> </w:t>
            </w:r>
            <w:bookmarkStart w:id="55" w:name="xdx_409_eus-gaap--OtherLiabilitiesCurren"/>
            <w:bookmarkEnd w:id="55"/>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2,060,418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3,810,418</w:t>
            </w:r>
          </w:p>
        </w:tc>
        <w:tc>
          <w:tcPr>
            <w:tcW w:w="79" w:type="dxa"/>
            <w:tcBorders/>
            <w:shd w:fill="CCEEFF" w:val="clear"/>
            <w:vAlign w:val="center"/>
          </w:tcPr>
          <w:p>
            <w:pPr>
              <w:pStyle w:val="TableContents"/>
              <w:bidi w:val="0"/>
              <w:spacing w:before="0" w:after="283"/>
              <w:jc w:val="left"/>
              <w:rPr/>
            </w:pPr>
            <w:r>
              <w:rPr/>
              <w:t> </w:t>
            </w:r>
            <w:bookmarkStart w:id="56" w:name="xdx_405_eus-gaap--LiabilitiesCurrent_i02"/>
            <w:bookmarkEnd w:id="56"/>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16,499,722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16,726,164</w:t>
            </w:r>
          </w:p>
        </w:tc>
        <w:tc>
          <w:tcPr>
            <w:tcW w:w="79" w:type="dxa"/>
            <w:tcBorders/>
            <w:shd w:fill="FFFFFF" w:val="clear"/>
            <w:vAlign w:val="center"/>
          </w:tcPr>
          <w:p>
            <w:pPr>
              <w:pStyle w:val="TableContents"/>
              <w:bidi w:val="0"/>
              <w:spacing w:before="0" w:after="283"/>
              <w:jc w:val="left"/>
              <w:rPr/>
            </w:pPr>
            <w:r>
              <w:rPr/>
              <w:t> </w:t>
            </w:r>
          </w:p>
        </w:tc>
      </w:tr>
      <w:tr>
        <w:trPr/>
        <w:tc>
          <w:tcPr>
            <w:tcW w:w="71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57" w:name="xdx_404_eus-gaap--AssetsNoncurrentAbstra"/>
            <w:bookmarkEnd w:id="57"/>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58" w:name="xdx_403_eus-gaap--OperatingLeaseLiabilit"/>
            <w:bookmarkEnd w:id="58"/>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liabilities-non-current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60,081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83,271</w:t>
            </w:r>
          </w:p>
        </w:tc>
        <w:tc>
          <w:tcPr>
            <w:tcW w:w="79" w:type="dxa"/>
            <w:tcBorders/>
            <w:shd w:fill="CCEEFF" w:val="clear"/>
            <w:vAlign w:val="center"/>
          </w:tcPr>
          <w:p>
            <w:pPr>
              <w:pStyle w:val="TableContents"/>
              <w:bidi w:val="0"/>
              <w:spacing w:before="0" w:after="283"/>
              <w:jc w:val="left"/>
              <w:rPr/>
            </w:pPr>
            <w:r>
              <w:rPr/>
              <w:t> </w:t>
            </w:r>
            <w:bookmarkStart w:id="59" w:name="xdx_40F_eus-gaap--DeferredIncomeTaxesAnd"/>
            <w:bookmarkEnd w:id="59"/>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17,822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18,143</w:t>
            </w:r>
          </w:p>
        </w:tc>
        <w:tc>
          <w:tcPr>
            <w:tcW w:w="79" w:type="dxa"/>
            <w:tcBorders/>
            <w:shd w:fill="FFFFFF" w:val="clear"/>
            <w:vAlign w:val="center"/>
          </w:tcPr>
          <w:p>
            <w:pPr>
              <w:pStyle w:val="TableContents"/>
              <w:bidi w:val="0"/>
              <w:spacing w:before="0" w:after="283"/>
              <w:jc w:val="left"/>
              <w:rPr/>
            </w:pPr>
            <w:r>
              <w:rPr/>
              <w:t> </w:t>
            </w:r>
            <w:bookmarkStart w:id="60" w:name="xdx_401_eus-gaap--LiabilitiesNoncurrent_"/>
            <w:bookmarkEnd w:id="60"/>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77,903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101,414</w:t>
            </w:r>
          </w:p>
        </w:tc>
        <w:tc>
          <w:tcPr>
            <w:tcW w:w="79" w:type="dxa"/>
            <w:tcBorders/>
            <w:shd w:fill="CCEEFF" w:val="clear"/>
            <w:vAlign w:val="center"/>
          </w:tcPr>
          <w:p>
            <w:pPr>
              <w:pStyle w:val="TableContents"/>
              <w:bidi w:val="0"/>
              <w:spacing w:before="0" w:after="283"/>
              <w:jc w:val="left"/>
              <w:rPr/>
            </w:pPr>
            <w:r>
              <w:rPr/>
              <w:t> </w:t>
            </w:r>
            <w:bookmarkStart w:id="61" w:name="xdx_408_eus-gaap--Liabilities_i01TI_mtCz"/>
            <w:bookmarkEnd w:id="61"/>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16,577,625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16,827,578</w:t>
            </w:r>
          </w:p>
        </w:tc>
        <w:tc>
          <w:tcPr>
            <w:tcW w:w="79" w:type="dxa"/>
            <w:tcBorders/>
            <w:shd w:fill="FFFFFF" w:val="clear"/>
            <w:vAlign w:val="center"/>
          </w:tcPr>
          <w:p>
            <w:pPr>
              <w:pStyle w:val="TableContents"/>
              <w:bidi w:val="0"/>
              <w:spacing w:before="0" w:after="283"/>
              <w:jc w:val="left"/>
              <w:rPr/>
            </w:pPr>
            <w:r>
              <w:rPr/>
              <w:t> </w:t>
            </w:r>
            <w:bookmarkStart w:id="62" w:name="xdx_409_eus-gaap--CommitmentsAndContinge"/>
            <w:bookmarkEnd w:id="62"/>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79"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63" w:name="xdx_402_eus-gaap--StockholdersEquityAbst"/>
            <w:bookmarkEnd w:id="63"/>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64" w:name="xdx_402_eus-gaap--PreferredStockValue_i0"/>
            <w:bookmarkEnd w:id="64"/>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w:t>
            </w:r>
            <w:bookmarkStart w:id="65" w:name="xdx_902_eus-gaap--PreferredStockParOrSta"/>
            <w:bookmarkStart w:id="66" w:name="xdx_908_eus-gaap--PreferredStockParOrSta"/>
            <w:bookmarkEnd w:id="65"/>
            <w:bookmarkEnd w:id="66"/>
            <w:r>
              <w:rPr>
                <w:rFonts w:ascii="Times New Roman;Times;Serif" w:hAnsi="Times New Roman;Times;Serif"/>
              </w:rPr>
              <w:t xml:space="preserve">0.0001 par value, </w:t>
            </w:r>
            <w:bookmarkStart w:id="67" w:name="xdx_90C_eus-gaap--PreferredStockSharesAu"/>
            <w:bookmarkStart w:id="68" w:name="xdx_908_eus-gaap--PreferredStockSharesAu"/>
            <w:bookmarkEnd w:id="67"/>
            <w:bookmarkEnd w:id="68"/>
            <w:r>
              <w:rPr>
                <w:rFonts w:ascii="Times New Roman;Times;Serif" w:hAnsi="Times New Roman;Times;Serif"/>
              </w:rPr>
              <w:t xml:space="preserve">10,000,000 shares authorized, </w:t>
            </w:r>
            <w:bookmarkStart w:id="69" w:name="xdx_900_eus-gaap--PreferredStockSharesOu"/>
            <w:bookmarkStart w:id="70" w:name="xdx_907_eus-gaap--PreferredStockSharesIs"/>
            <w:bookmarkStart w:id="71" w:name="xdx_908_eus-gaap--PreferredStockSharesOu"/>
            <w:bookmarkStart w:id="72" w:name="xdx_90D_eus-gaap--PreferredStockSharesIs"/>
            <w:bookmarkEnd w:id="69"/>
            <w:bookmarkEnd w:id="70"/>
            <w:bookmarkEnd w:id="71"/>
            <w:bookmarkEnd w:id="72"/>
            <w:r>
              <w:rPr>
                <w:rFonts w:ascii="Times New Roman;Times;Serif" w:hAnsi="Times New Roman;Times;Serif"/>
              </w:rPr>
              <w:t>none issued and outstanding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bookmarkStart w:id="73" w:name="xdx_401_eus-gaap--CommonStockValue_i02I_"/>
            <w:bookmarkEnd w:id="73"/>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74" w:name="xdx_90E_eus-gaap--CommonStockParOrStated"/>
            <w:bookmarkStart w:id="75" w:name="xdx_90E_eus-gaap--CommonStockParOrStated"/>
            <w:bookmarkEnd w:id="74"/>
            <w:bookmarkEnd w:id="75"/>
            <w:r>
              <w:rPr>
                <w:rFonts w:ascii="Times New Roman;Times;Serif" w:hAnsi="Times New Roman;Times;Serif"/>
              </w:rPr>
              <w:t xml:space="preserve">0.0001 par value, </w:t>
            </w:r>
            <w:bookmarkStart w:id="76" w:name="xdx_90B_eus-gaap--CommonStockSharesAutho"/>
            <w:bookmarkStart w:id="77" w:name="xdx_90A_eus-gaap--CommonStockSharesAutho"/>
            <w:bookmarkEnd w:id="76"/>
            <w:bookmarkEnd w:id="77"/>
            <w:r>
              <w:rPr>
                <w:rFonts w:ascii="Times New Roman;Times;Serif" w:hAnsi="Times New Roman;Times;Serif"/>
              </w:rPr>
              <w:t xml:space="preserve">300,000,000 shares authorized, </w:t>
            </w:r>
            <w:bookmarkStart w:id="78" w:name="xdx_906_eus-gaap--CommonStockSharesOutst"/>
            <w:bookmarkStart w:id="79" w:name="xdx_905_eus-gaap--CommonStockSharesIssue"/>
            <w:bookmarkEnd w:id="78"/>
            <w:bookmarkEnd w:id="79"/>
            <w:r>
              <w:rPr>
                <w:rFonts w:ascii="Times New Roman;Times;Serif" w:hAnsi="Times New Roman;Times;Serif"/>
              </w:rPr>
              <w:t xml:space="preserve">35,183,890 and </w:t>
            </w:r>
            <w:bookmarkStart w:id="80" w:name="xdx_905_eus-gaap--CommonStockSharesOutst"/>
            <w:bookmarkStart w:id="81" w:name="xdx_901_eus-gaap--CommonStockSharesIssue"/>
            <w:bookmarkEnd w:id="80"/>
            <w:bookmarkEnd w:id="81"/>
            <w:r>
              <w:rPr>
                <w:rFonts w:ascii="Times New Roman;Times;Serif" w:hAnsi="Times New Roman;Times;Serif"/>
              </w:rPr>
              <w:t>35,176,320 shares issued and outstanding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3,518</w:t>
            </w:r>
          </w:p>
        </w:tc>
        <w:tc>
          <w:tcPr>
            <w:tcW w:w="79" w:type="dxa"/>
            <w:tcBorders/>
            <w:shd w:fill="CCEEFF" w:val="clear"/>
            <w:vAlign w:val="center"/>
          </w:tcPr>
          <w:p>
            <w:pPr>
              <w:pStyle w:val="TableContents"/>
              <w:bidi w:val="0"/>
              <w:spacing w:before="0" w:after="283"/>
              <w:jc w:val="left"/>
              <w:rPr/>
            </w:pPr>
            <w:r>
              <w:rPr/>
              <w:t> </w:t>
            </w:r>
            <w:bookmarkStart w:id="82" w:name="xdx_406_eus-gaap--AdditionalPaidInCapita"/>
            <w:bookmarkEnd w:id="82"/>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5,877,682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5,862,683</w:t>
            </w:r>
          </w:p>
        </w:tc>
        <w:tc>
          <w:tcPr>
            <w:tcW w:w="79" w:type="dxa"/>
            <w:tcBorders/>
            <w:shd w:fill="FFFFFF" w:val="clear"/>
            <w:vAlign w:val="center"/>
          </w:tcPr>
          <w:p>
            <w:pPr>
              <w:pStyle w:val="TableContents"/>
              <w:bidi w:val="0"/>
              <w:spacing w:before="0" w:after="283"/>
              <w:jc w:val="left"/>
              <w:rPr/>
            </w:pPr>
            <w:r>
              <w:rPr/>
              <w:t> </w:t>
            </w:r>
            <w:bookmarkStart w:id="83" w:name="xdx_403_eus-gaap--RetainedEarningsAccumu"/>
            <w:bookmarkEnd w:id="83"/>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earnings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1,933,156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1,109,674</w:t>
            </w:r>
          </w:p>
        </w:tc>
        <w:tc>
          <w:tcPr>
            <w:tcW w:w="79" w:type="dxa"/>
            <w:tcBorders/>
            <w:shd w:fill="CCEEFF" w:val="clear"/>
            <w:vAlign w:val="center"/>
          </w:tcPr>
          <w:p>
            <w:pPr>
              <w:pStyle w:val="TableContents"/>
              <w:bidi w:val="0"/>
              <w:spacing w:before="0" w:after="283"/>
              <w:jc w:val="left"/>
              <w:rPr/>
            </w:pPr>
            <w:r>
              <w:rPr/>
              <w:t> </w:t>
            </w:r>
            <w:bookmarkStart w:id="84" w:name="xdx_404_eus-gaap--AccumulatedOtherCompre"/>
            <w:bookmarkEnd w:id="84"/>
          </w:p>
        </w:tc>
      </w:tr>
      <w:tr>
        <w:trPr/>
        <w:tc>
          <w:tcPr>
            <w:tcW w:w="7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17,984</w:t>
            </w:r>
          </w:p>
        </w:tc>
        <w:tc>
          <w:tcPr>
            <w:tcW w:w="79" w:type="dxa"/>
            <w:tcBorders/>
            <w:shd w:fill="FFFFFF" w:val="clear"/>
            <w:vAlign w:val="center"/>
          </w:tcPr>
          <w:p>
            <w:pPr>
              <w:pStyle w:val="TableContents"/>
              <w:bidi w:val="0"/>
              <w:spacing w:before="0" w:after="283"/>
              <w:jc w:val="left"/>
              <w:rPr/>
            </w:pPr>
            <w:r>
              <w:rPr/>
              <w:t> </w:t>
            </w:r>
            <w:bookmarkStart w:id="85" w:name="xdx_406_eus-gaap--StockholdersEquity_i02"/>
            <w:bookmarkEnd w:id="85"/>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7,814,724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6,993,859</w:t>
            </w:r>
          </w:p>
        </w:tc>
        <w:tc>
          <w:tcPr>
            <w:tcW w:w="79" w:type="dxa"/>
            <w:tcBorders/>
            <w:shd w:fill="CCEEFF" w:val="clear"/>
            <w:vAlign w:val="center"/>
          </w:tcPr>
          <w:p>
            <w:pPr>
              <w:pStyle w:val="TableContents"/>
              <w:bidi w:val="0"/>
              <w:spacing w:before="0" w:after="283"/>
              <w:jc w:val="left"/>
              <w:rPr/>
            </w:pPr>
            <w:r>
              <w:rPr/>
              <w:t> </w:t>
            </w:r>
          </w:p>
        </w:tc>
      </w:tr>
      <w:tr>
        <w:trPr/>
        <w:tc>
          <w:tcPr>
            <w:tcW w:w="71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86" w:name="xdx_40F_eus-gaap--LiabilitiesAndStockhol"/>
            <w:bookmarkEnd w:id="86"/>
          </w:p>
        </w:tc>
      </w:tr>
      <w:tr>
        <w:trPr/>
        <w:tc>
          <w:tcPr>
            <w:tcW w:w="7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24,392,349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23,821,437</w:t>
            </w:r>
          </w:p>
        </w:tc>
        <w:tc>
          <w:tcPr>
            <w:tcW w:w="79"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footnotes are an integral part of these unaudited consolidated financial statements.</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INCOME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except for share and per share data)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7" w:name="xdx_30B_113_z028LBM9v0Ta"/>
      <w:bookmarkStart w:id="88" w:name="xdx_30B_113_z028LBM9v0Ta"/>
      <w:bookmarkEnd w:id="88"/>
    </w:p>
    <w:tbl>
      <w:tblPr>
        <w:tblW w:w="8714" w:type="dxa"/>
        <w:jc w:val="left"/>
        <w:tblInd w:w="0" w:type="dxa"/>
        <w:tblLayout w:type="fixed"/>
        <w:tblCellMar>
          <w:top w:w="0" w:type="dxa"/>
          <w:left w:w="0" w:type="dxa"/>
          <w:bottom w:w="0" w:type="dxa"/>
          <w:right w:w="0" w:type="dxa"/>
        </w:tblCellMar>
      </w:tblPr>
      <w:tblGrid>
        <w:gridCol w:w="5480"/>
        <w:gridCol w:w="60"/>
        <w:gridCol w:w="154"/>
        <w:gridCol w:w="1293"/>
        <w:gridCol w:w="104"/>
        <w:gridCol w:w="66"/>
        <w:gridCol w:w="154"/>
        <w:gridCol w:w="1293"/>
        <w:gridCol w:w="110"/>
      </w:tblGrid>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 w:name="xdx_498_20260101__20260331_zP9L3I7hSzIj"/>
            <w:bookmarkEnd w:id="89"/>
          </w:p>
        </w:tc>
        <w:tc>
          <w:tcPr>
            <w:tcW w:w="14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90" w:name="xdx_49C_20250101__20250331_zJwYV94iepU3"/>
            <w:bookmarkEnd w:id="90"/>
          </w:p>
        </w:tc>
        <w:tc>
          <w:tcPr>
            <w:tcW w:w="14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 March 31,</w:t>
            </w:r>
          </w:p>
        </w:tc>
        <w:tc>
          <w:tcPr>
            <w:tcW w:w="11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7" w:type="dxa"/>
            <w:gridSpan w:val="2"/>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47"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91" w:name="xdx_400_eus-gaap--RevenueFromContractWit"/>
            <w:bookmarkEnd w:id="91"/>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29,930,342</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25,837,090</w:t>
            </w:r>
          </w:p>
        </w:tc>
        <w:tc>
          <w:tcPr>
            <w:tcW w:w="110" w:type="dxa"/>
            <w:tcBorders/>
            <w:shd w:fill="CCEEFF" w:val="clear"/>
            <w:vAlign w:val="center"/>
          </w:tcPr>
          <w:p>
            <w:pPr>
              <w:pStyle w:val="TableContents"/>
              <w:bidi w:val="0"/>
              <w:spacing w:before="0" w:after="283"/>
              <w:jc w:val="left"/>
              <w:rPr/>
            </w:pPr>
            <w:r>
              <w:rPr/>
              <w:t> </w:t>
            </w:r>
            <w:bookmarkStart w:id="92" w:name="xdx_408_eus-gaap--CostOfGoodsAndServices"/>
            <w:bookmarkEnd w:id="92"/>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(13,912,567</w:t>
            </w:r>
          </w:p>
        </w:tc>
        <w:tc>
          <w:tcPr>
            <w:tcW w:w="1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(11,691,792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3" w:name="xdx_407_eus-gaap--GrossProfit_iT_mtCzWW3"/>
            <w:bookmarkEnd w:id="93"/>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16,017,775</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14,145,298</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 w:name="xdx_40E_eus-gaap--OperatingExpensesAbstr"/>
            <w:bookmarkEnd w:id="94"/>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5" w:name="xdx_408_eus-gaap--SellingAndMarketingExp"/>
            <w:bookmarkEnd w:id="95"/>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12,598,641</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11,246,997</w:t>
            </w:r>
          </w:p>
        </w:tc>
        <w:tc>
          <w:tcPr>
            <w:tcW w:w="110" w:type="dxa"/>
            <w:tcBorders/>
            <w:shd w:fill="FFFFFF" w:val="clear"/>
            <w:vAlign w:val="center"/>
          </w:tcPr>
          <w:p>
            <w:pPr>
              <w:pStyle w:val="TableContents"/>
              <w:bidi w:val="0"/>
              <w:spacing w:before="0" w:after="283"/>
              <w:jc w:val="left"/>
              <w:rPr/>
            </w:pPr>
            <w:r>
              <w:rPr/>
              <w:t> </w:t>
            </w:r>
            <w:bookmarkStart w:id="96" w:name="xdx_400_eus-gaap--GeneralAndAdministrati"/>
            <w:bookmarkEnd w:id="96"/>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2,277,006</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1,977,436</w:t>
            </w:r>
          </w:p>
        </w:tc>
        <w:tc>
          <w:tcPr>
            <w:tcW w:w="110" w:type="dxa"/>
            <w:tcBorders/>
            <w:shd w:fill="CCEEFF" w:val="clear"/>
            <w:vAlign w:val="center"/>
          </w:tcPr>
          <w:p>
            <w:pPr>
              <w:pStyle w:val="TableContents"/>
              <w:bidi w:val="0"/>
              <w:spacing w:before="0" w:after="283"/>
              <w:jc w:val="left"/>
              <w:rPr/>
            </w:pPr>
            <w:r>
              <w:rPr/>
              <w:t> </w:t>
            </w:r>
            <w:bookmarkStart w:id="97" w:name="xdx_40C_eus-gaap--OperatingExpenses_i01T"/>
            <w:bookmarkEnd w:id="97"/>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14,875,647</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13,224,433</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8" w:name="xdx_406_eus-gaap--OperatingIncomeLoss_iT"/>
            <w:bookmarkEnd w:id="98"/>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from operations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1,142,128</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920,865</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9" w:name="xdx_405_eus-gaap--NonoperatingIncomeExpe"/>
            <w:bookmarkEnd w:id="99"/>
          </w:p>
        </w:tc>
      </w:tr>
      <w:tr>
        <w:trPr/>
        <w:tc>
          <w:tcPr>
            <w:tcW w:w="5480" w:type="dxa"/>
            <w:tcBorders/>
            <w:shd w:fill="FFFFFF" w:val="clear"/>
            <w:vAlign w:val="center"/>
          </w:tcPr>
          <w:p>
            <w:pPr>
              <w:pStyle w:val="TableContents"/>
              <w:bidi w:val="0"/>
              <w:spacing w:before="0" w:after="283"/>
              <w:jc w:val="left"/>
              <w:rPr/>
            </w:pPr>
            <w:r>
              <w:rPr>
                <w:rFonts w:ascii="Times New Roman;Times;Serif" w:hAnsi="Times New Roman;Times;Serif"/>
              </w:rPr>
              <w:t>Other (expense)</w:t>
            </w:r>
            <w:r>
              <w:rPr/>
              <w:t xml:space="preserve"> income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0" w:name="xdx_405_eus-gaap--OtherNonoperatingIncom"/>
            <w:bookmarkEnd w:id="100"/>
          </w:p>
        </w:tc>
      </w:tr>
      <w:tr>
        <w:trPr/>
        <w:tc>
          <w:tcPr>
            <w:tcW w:w="5480" w:type="dxa"/>
            <w:tcBorders/>
            <w:shd w:fill="CCEEFF" w:val="clear"/>
            <w:vAlign w:val="center"/>
          </w:tcPr>
          <w:p>
            <w:pPr>
              <w:pStyle w:val="TableContents"/>
              <w:bidi w:val="0"/>
              <w:spacing w:before="0" w:after="283"/>
              <w:jc w:val="left"/>
              <w:rPr/>
            </w:pPr>
            <w:r>
              <w:rPr>
                <w:rFonts w:ascii="Times New Roman;Times;Serif" w:hAnsi="Times New Roman;Times;Serif"/>
              </w:rPr>
              <w:t>Other (expense)</w:t>
            </w:r>
            <w:r>
              <w:rPr/>
              <w:t xml:space="preserve"> income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(1,808</w:t>
            </w:r>
          </w:p>
        </w:tc>
        <w:tc>
          <w:tcPr>
            <w:tcW w:w="1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w:t>
            </w:r>
          </w:p>
        </w:tc>
        <w:tc>
          <w:tcPr>
            <w:tcW w:w="110" w:type="dxa"/>
            <w:tcBorders/>
            <w:shd w:fill="CCEEFF" w:val="clear"/>
            <w:vAlign w:val="center"/>
          </w:tcPr>
          <w:p>
            <w:pPr>
              <w:pStyle w:val="TableContents"/>
              <w:bidi w:val="0"/>
              <w:spacing w:before="0" w:after="283"/>
              <w:jc w:val="left"/>
              <w:rPr/>
            </w:pPr>
            <w:r>
              <w:rPr/>
              <w:t> </w:t>
            </w:r>
            <w:bookmarkStart w:id="101" w:name="xdx_405_eus-gaap--InterestExpenseNonoper"/>
            <w:bookmarkEnd w:id="101"/>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(33,938</w:t>
            </w:r>
          </w:p>
        </w:tc>
        <w:tc>
          <w:tcPr>
            <w:tcW w:w="1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(47,055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 w:name="xdx_40C_eus-gaap--OtherIncome_i01_maNIEz"/>
            <w:bookmarkEnd w:id="102"/>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26,758</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61,825</w:t>
            </w:r>
          </w:p>
        </w:tc>
        <w:tc>
          <w:tcPr>
            <w:tcW w:w="110" w:type="dxa"/>
            <w:tcBorders/>
            <w:shd w:fill="CCEEFF" w:val="clear"/>
            <w:vAlign w:val="center"/>
          </w:tcPr>
          <w:p>
            <w:pPr>
              <w:pStyle w:val="TableContents"/>
              <w:bidi w:val="0"/>
              <w:spacing w:before="0" w:after="283"/>
              <w:jc w:val="left"/>
              <w:rPr/>
            </w:pPr>
            <w:r>
              <w:rPr/>
              <w:t> </w:t>
            </w:r>
            <w:bookmarkStart w:id="103" w:name="xdx_407_eus-gaap--NonoperatingIncomeExpe"/>
            <w:bookmarkEnd w:id="103"/>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(8,988</w:t>
            </w:r>
          </w:p>
        </w:tc>
        <w:tc>
          <w:tcPr>
            <w:tcW w:w="1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15,071</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4" w:name="xdx_40E_eus-gaap--IncomeLossFromContinui"/>
            <w:bookmarkEnd w:id="104"/>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before income taxes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1,133,140</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935,936</w:t>
            </w:r>
          </w:p>
        </w:tc>
        <w:tc>
          <w:tcPr>
            <w:tcW w:w="110" w:type="dxa"/>
            <w:tcBorders/>
            <w:shd w:fill="FFFFFF" w:val="clear"/>
            <w:vAlign w:val="center"/>
          </w:tcPr>
          <w:p>
            <w:pPr>
              <w:pStyle w:val="TableContents"/>
              <w:bidi w:val="0"/>
              <w:spacing w:before="0" w:after="283"/>
              <w:jc w:val="left"/>
              <w:rPr/>
            </w:pPr>
            <w:r>
              <w:rPr/>
              <w:t> </w:t>
            </w:r>
            <w:bookmarkStart w:id="105" w:name="xdx_40C_eus-gaap--IncomeTaxExpenseBenefi"/>
            <w:bookmarkEnd w:id="105"/>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(309,658</w:t>
            </w:r>
          </w:p>
        </w:tc>
        <w:tc>
          <w:tcPr>
            <w:tcW w:w="1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(281,419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6" w:name="xdx_40D_eus-gaap--NetIncomeLoss_iT_mtCzY"/>
            <w:bookmarkEnd w:id="106"/>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823,482</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654,517</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7" w:name="xdx_403_eus-gaap--ComprehensiveIncomeNet"/>
            <w:bookmarkEnd w:id="107"/>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8" w:name="xdx_400_eus-gaap--OtherComprehensiveInco"/>
            <w:bookmarkEnd w:id="108"/>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(17,616</w:t>
            </w:r>
          </w:p>
        </w:tc>
        <w:tc>
          <w:tcPr>
            <w:tcW w:w="1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(13,536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9" w:name="xdx_401_eus-gaap--ComprehensiveIncomeNet"/>
            <w:bookmarkEnd w:id="109"/>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comprehensive income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805,866</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640,981</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bookmarkStart w:id="110" w:name="xdx_908_eus-gaap--EarningsPerShareDilute"/>
            <w:bookmarkStart w:id="111" w:name="xdx_90D_eus-gaap--EarningsPerShareBasic_"/>
            <w:bookmarkEnd w:id="110"/>
            <w:bookmarkEnd w:id="111"/>
            <w:r>
              <w:rPr>
                <w:rFonts w:ascii="Times New Roman;Times;Serif" w:hAnsi="Times New Roman;Times;Serif"/>
              </w:rPr>
              <w:t>0.02</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bookmarkStart w:id="112" w:name="xdx_908_eus-gaap--EarningsPerShareDilute"/>
            <w:bookmarkStart w:id="113" w:name="xdx_90F_eus-gaap--EarningsPerShareBasic_"/>
            <w:bookmarkEnd w:id="112"/>
            <w:bookmarkEnd w:id="113"/>
            <w:r>
              <w:rPr>
                <w:rFonts w:ascii="Times New Roman;Times;Serif" w:hAnsi="Times New Roman;Times;Serif"/>
              </w:rPr>
              <w:t>0.02</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14" w:name="xdx_90B_eus-gaap--WeightedAverageNumberO"/>
            <w:bookmarkStart w:id="115" w:name="xdx_90F_eus-gaap--WeightedAverageNumberO"/>
            <w:bookmarkEnd w:id="114"/>
            <w:bookmarkEnd w:id="115"/>
            <w:r>
              <w:rPr>
                <w:rFonts w:ascii="Times New Roman;Times;Serif" w:hAnsi="Times New Roman;Times;Serif"/>
              </w:rPr>
              <w:t>35,183,554</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16" w:name="xdx_901_eus-gaap--WeightedAverageNumberO"/>
            <w:bookmarkStart w:id="117" w:name="xdx_907_eus-gaap--WeightedAverageNumberO"/>
            <w:bookmarkEnd w:id="116"/>
            <w:bookmarkEnd w:id="117"/>
            <w:r>
              <w:rPr>
                <w:rFonts w:ascii="Times New Roman;Times;Serif" w:hAnsi="Times New Roman;Times;Serif"/>
              </w:rPr>
              <w:t>35,151,351</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footnotes are an integral part of these unaudited consolidated financial statements.</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except for share data)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8" w:name="xdx_307_114_zqF8gEqQbWV1"/>
      <w:bookmarkStart w:id="119" w:name="xdx_307_114_zqF8gEqQbWV1"/>
      <w:bookmarkEnd w:id="119"/>
    </w:p>
    <w:tbl>
      <w:tblPr>
        <w:tblW w:w="10205" w:type="dxa"/>
        <w:jc w:val="left"/>
        <w:tblInd w:w="0" w:type="dxa"/>
        <w:tblLayout w:type="fixed"/>
        <w:tblCellMar>
          <w:top w:w="0" w:type="dxa"/>
          <w:left w:w="0" w:type="dxa"/>
          <w:bottom w:w="0" w:type="dxa"/>
          <w:right w:w="0" w:type="dxa"/>
        </w:tblCellMar>
      </w:tblPr>
      <w:tblGrid>
        <w:gridCol w:w="1916"/>
        <w:gridCol w:w="60"/>
        <w:gridCol w:w="60"/>
        <w:gridCol w:w="1100"/>
        <w:gridCol w:w="60"/>
        <w:gridCol w:w="60"/>
        <w:gridCol w:w="140"/>
        <w:gridCol w:w="695"/>
        <w:gridCol w:w="60"/>
        <w:gridCol w:w="60"/>
        <w:gridCol w:w="140"/>
        <w:gridCol w:w="980"/>
        <w:gridCol w:w="60"/>
        <w:gridCol w:w="60"/>
        <w:gridCol w:w="140"/>
        <w:gridCol w:w="1447"/>
        <w:gridCol w:w="95"/>
        <w:gridCol w:w="60"/>
        <w:gridCol w:w="140"/>
        <w:gridCol w:w="1340"/>
        <w:gridCol w:w="95"/>
        <w:gridCol w:w="60"/>
        <w:gridCol w:w="140"/>
        <w:gridCol w:w="1125"/>
        <w:gridCol w:w="112"/>
      </w:tblGrid>
      <w:tr>
        <w:trPr/>
        <w:tc>
          <w:tcPr>
            <w:tcW w:w="19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120" w:name="xdx_4B7_us-gaap--StatementEquityComponen"/>
            <w:bookmarkEnd w:id="120"/>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121" w:name="xdx_4BE_us-gaap--StatementEquityComponen"/>
            <w:bookmarkEnd w:id="121"/>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122" w:name="xdx_4B0_us-gaap--StatementEquityComponen"/>
            <w:bookmarkEnd w:id="122"/>
          </w:p>
        </w:tc>
        <w:tc>
          <w:tcPr>
            <w:tcW w:w="144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Earnings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123" w:name="xdx_4B5_us-gaap--StatementEquityComponen"/>
            <w:bookmarkEnd w:id="123"/>
          </w:p>
        </w:tc>
        <w:tc>
          <w:tcPr>
            <w:tcW w:w="13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124" w:name="xdx_4BE_z7zC5ScOkZ8e"/>
            <w:bookmarkEnd w:id="124"/>
          </w:p>
        </w:tc>
        <w:tc>
          <w:tcPr>
            <w:tcW w:w="11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112" w:type="dxa"/>
            <w:tcBorders/>
            <w:shd w:fill="FFFFFF" w:val="clear"/>
            <w:vAlign w:val="center"/>
          </w:tcPr>
          <w:p>
            <w:pPr>
              <w:pStyle w:val="TableContents"/>
              <w:bidi w:val="0"/>
              <w:spacing w:before="0" w:after="283"/>
              <w:jc w:val="center"/>
              <w:rPr/>
            </w:pPr>
            <w:r>
              <w:rPr/>
              <w:t> </w:t>
            </w:r>
          </w:p>
        </w:tc>
      </w:tr>
      <w:tr>
        <w:trPr/>
        <w:tc>
          <w:tcPr>
            <w:tcW w:w="19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2055"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1447"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 Deficit) Retained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1340" w:type="dxa"/>
            <w:tcBorders/>
            <w:shd w:fill="FFFFFF" w:val="cle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1125" w:type="dxa"/>
            <w:tcBorders/>
            <w:shd w:fill="FFFFFF" w:val="cle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2" w:type="dxa"/>
            <w:tcBorders/>
            <w:shd w:fill="FFFFFF" w:val="clear"/>
            <w:vAlign w:val="center"/>
          </w:tcPr>
          <w:p>
            <w:pPr>
              <w:pStyle w:val="TableContents"/>
              <w:bidi w:val="0"/>
              <w:spacing w:before="0" w:after="283"/>
              <w:jc w:val="center"/>
              <w:rPr/>
            </w:pPr>
            <w:r>
              <w:rPr/>
              <w:t> </w:t>
            </w:r>
          </w:p>
        </w:tc>
      </w:tr>
      <w:tr>
        <w:trPr/>
        <w:tc>
          <w:tcPr>
            <w:tcW w:w="19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44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Earnings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112" w:type="dxa"/>
            <w:tcBorders/>
            <w:shd w:fill="FFFFFF" w:val="clear"/>
            <w:vAlign w:val="center"/>
          </w:tcPr>
          <w:p>
            <w:pPr>
              <w:pStyle w:val="TableContents"/>
              <w:bidi w:val="0"/>
              <w:spacing w:before="0" w:after="283"/>
              <w:jc w:val="center"/>
              <w:rPr/>
            </w:pPr>
            <w:r>
              <w:rPr/>
              <w:t> </w:t>
            </w:r>
          </w:p>
        </w:tc>
      </w:tr>
      <w:tr>
        <w:trPr/>
        <w:tc>
          <w:tcPr>
            <w:tcW w:w="1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25" w:name="xdx_43D_c20250101__20250331_eus-gaap--St"/>
            <w:bookmarkEnd w:id="125"/>
          </w:p>
        </w:tc>
      </w:tr>
      <w:tr>
        <w:trPr/>
        <w:tc>
          <w:tcPr>
            <w:tcW w:w="19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6" w:name="xdx_983_eus-gaap--SharesOutstanding_iS_p"/>
            <w:bookmarkEnd w:id="12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35,143,460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5,802,686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(595,175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5,159,742</w:t>
            </w:r>
          </w:p>
        </w:tc>
        <w:tc>
          <w:tcPr>
            <w:tcW w:w="112" w:type="dxa"/>
            <w:tcBorders/>
            <w:shd w:fill="CCEEFF" w:val="clear"/>
            <w:vAlign w:val="center"/>
          </w:tcPr>
          <w:p>
            <w:pPr>
              <w:pStyle w:val="TableContents"/>
              <w:bidi w:val="0"/>
              <w:spacing w:before="0" w:after="283"/>
              <w:jc w:val="left"/>
              <w:rPr/>
            </w:pPr>
            <w:r>
              <w:rPr/>
              <w:t> </w:t>
            </w:r>
          </w:p>
        </w:tc>
      </w:tr>
      <w:tr>
        <w:trPr/>
        <w:tc>
          <w:tcPr>
            <w:tcW w:w="1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27" w:name="xdx_407_eus-gaap--StockIssuedDuringPerio"/>
            <w:bookmarkEnd w:id="127"/>
          </w:p>
        </w:tc>
      </w:tr>
      <w:tr>
        <w:trPr/>
        <w:tc>
          <w:tcPr>
            <w:tcW w:w="19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8" w:name="xdx_986_eus-gaap--StockIssuedDuringPerio"/>
            <w:bookmarkEnd w:id="128"/>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2" w:type="dxa"/>
            <w:tcBorders/>
            <w:shd w:fill="CCEEFF" w:val="clear"/>
            <w:vAlign w:val="center"/>
          </w:tcPr>
          <w:p>
            <w:pPr>
              <w:pStyle w:val="TableContents"/>
              <w:bidi w:val="0"/>
              <w:spacing w:before="0" w:after="283"/>
              <w:jc w:val="left"/>
              <w:rPr/>
            </w:pPr>
            <w:r>
              <w:rPr/>
              <w:t> </w:t>
            </w:r>
          </w:p>
        </w:tc>
      </w:tr>
      <w:tr>
        <w:trPr/>
        <w:tc>
          <w:tcPr>
            <w:tcW w:w="1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29" w:name="xdx_403_eus-gaap--OtherComprehensiveInco"/>
            <w:bookmarkEnd w:id="129"/>
          </w:p>
        </w:tc>
      </w:tr>
      <w:tr>
        <w:trPr/>
        <w:tc>
          <w:tcPr>
            <w:tcW w:w="19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(13,536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30" w:name="xdx_403_eus-gaap--NetIncomeLoss_zkg9Dd3l"/>
            <w:bookmarkEnd w:id="130"/>
          </w:p>
        </w:tc>
      </w:tr>
      <w:tr>
        <w:trPr/>
        <w:tc>
          <w:tcPr>
            <w:tcW w:w="19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654,517</w:t>
            </w:r>
          </w:p>
        </w:tc>
        <w:tc>
          <w:tcPr>
            <w:tcW w:w="112" w:type="dxa"/>
            <w:tcBorders/>
            <w:shd w:fill="CCEEFF" w:val="clear"/>
            <w:vAlign w:val="center"/>
          </w:tcPr>
          <w:p>
            <w:pPr>
              <w:pStyle w:val="TableContents"/>
              <w:bidi w:val="0"/>
              <w:spacing w:before="0" w:after="283"/>
              <w:jc w:val="left"/>
              <w:rPr/>
            </w:pPr>
            <w:r>
              <w:rPr/>
              <w:t> </w:t>
            </w:r>
          </w:p>
        </w:tc>
      </w:tr>
      <w:tr>
        <w:trPr/>
        <w:tc>
          <w:tcPr>
            <w:tcW w:w="1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31" w:name="xdx_430_c20250101__20250331_eus-gaap--St"/>
            <w:bookmarkEnd w:id="131"/>
          </w:p>
        </w:tc>
      </w:tr>
      <w:tr>
        <w:trPr/>
        <w:tc>
          <w:tcPr>
            <w:tcW w:w="19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2" w:name="xdx_981_eus-gaap--SharesOutstanding_iE_p"/>
            <w:bookmarkEnd w:id="132"/>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35,151,440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5,817,685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(64,819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5,815,723</w:t>
            </w:r>
          </w:p>
        </w:tc>
        <w:tc>
          <w:tcPr>
            <w:tcW w:w="112" w:type="dxa"/>
            <w:tcBorders/>
            <w:shd w:fill="CCEEFF" w:val="clear"/>
            <w:vAlign w:val="center"/>
          </w:tcPr>
          <w:p>
            <w:pPr>
              <w:pStyle w:val="TableContents"/>
              <w:bidi w:val="0"/>
              <w:spacing w:before="0" w:after="283"/>
              <w:jc w:val="left"/>
              <w:rPr/>
            </w:pPr>
            <w:r>
              <w:rPr/>
              <w:t> </w:t>
            </w:r>
          </w:p>
        </w:tc>
      </w:tr>
      <w:tr>
        <w:trPr/>
        <w:tc>
          <w:tcPr>
            <w:tcW w:w="1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33" w:name="xdx_43A_c20260101__20260331_eus-gaap--St"/>
            <w:bookmarkEnd w:id="133"/>
          </w:p>
        </w:tc>
      </w:tr>
      <w:tr>
        <w:trPr/>
        <w:tc>
          <w:tcPr>
            <w:tcW w:w="19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4" w:name="xdx_98B_eus-gaap--SharesOutstanding_iS_p"/>
            <w:bookmarkEnd w:id="134"/>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35,176,320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5,862,683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1,109,674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6,993,859</w:t>
            </w:r>
          </w:p>
        </w:tc>
        <w:tc>
          <w:tcPr>
            <w:tcW w:w="112" w:type="dxa"/>
            <w:tcBorders/>
            <w:shd w:fill="CCEEFF" w:val="clear"/>
            <w:vAlign w:val="center"/>
          </w:tcPr>
          <w:p>
            <w:pPr>
              <w:pStyle w:val="TableContents"/>
              <w:bidi w:val="0"/>
              <w:spacing w:before="0" w:after="283"/>
              <w:jc w:val="left"/>
              <w:rPr/>
            </w:pPr>
            <w:r>
              <w:rPr/>
              <w:t> </w:t>
            </w:r>
            <w:bookmarkStart w:id="135" w:name="xdx_43F_c20260101__20260331_eus-gaap--St"/>
            <w:bookmarkEnd w:id="135"/>
          </w:p>
        </w:tc>
      </w:tr>
      <w:tr>
        <w:trPr/>
        <w:tc>
          <w:tcPr>
            <w:tcW w:w="19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6" w:name="xdx_984_eus-gaap--SharesOutstanding_iS_p"/>
            <w:bookmarkEnd w:id="13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35,176,320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5,862,683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1,109,674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6,993,859</w:t>
            </w:r>
          </w:p>
        </w:tc>
        <w:tc>
          <w:tcPr>
            <w:tcW w:w="112" w:type="dxa"/>
            <w:tcBorders/>
            <w:shd w:fill="CCEEFF" w:val="clear"/>
            <w:vAlign w:val="center"/>
          </w:tcPr>
          <w:p>
            <w:pPr>
              <w:pStyle w:val="TableContents"/>
              <w:bidi w:val="0"/>
              <w:spacing w:before="0" w:after="283"/>
              <w:jc w:val="left"/>
              <w:rPr/>
            </w:pPr>
            <w:r>
              <w:rPr/>
              <w:t> </w:t>
            </w:r>
          </w:p>
        </w:tc>
      </w:tr>
      <w:tr>
        <w:trPr/>
        <w:tc>
          <w:tcPr>
            <w:tcW w:w="1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37" w:name="xdx_407_eus-gaap--StockIssuedDuringPerio"/>
            <w:bookmarkEnd w:id="137"/>
          </w:p>
        </w:tc>
      </w:tr>
      <w:tr>
        <w:trPr/>
        <w:tc>
          <w:tcPr>
            <w:tcW w:w="19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8" w:name="xdx_98D_eus-gaap--StockIssuedDuringPerio"/>
            <w:bookmarkEnd w:id="138"/>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14,999</w:t>
            </w:r>
          </w:p>
        </w:tc>
        <w:tc>
          <w:tcPr>
            <w:tcW w:w="112" w:type="dxa"/>
            <w:tcBorders/>
            <w:shd w:fill="CCEEFF" w:val="clear"/>
            <w:vAlign w:val="center"/>
          </w:tcPr>
          <w:p>
            <w:pPr>
              <w:pStyle w:val="TableContents"/>
              <w:bidi w:val="0"/>
              <w:spacing w:before="0" w:after="283"/>
              <w:jc w:val="left"/>
              <w:rPr/>
            </w:pPr>
            <w:r>
              <w:rPr/>
              <w:t> </w:t>
            </w:r>
          </w:p>
        </w:tc>
      </w:tr>
      <w:tr>
        <w:trPr/>
        <w:tc>
          <w:tcPr>
            <w:tcW w:w="1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39" w:name="xdx_403_eus-gaap--OtherComprehensiveInco"/>
            <w:bookmarkEnd w:id="139"/>
          </w:p>
        </w:tc>
      </w:tr>
      <w:tr>
        <w:trPr/>
        <w:tc>
          <w:tcPr>
            <w:tcW w:w="19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(17,616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(17,616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40" w:name="xdx_403_eus-gaap--NetIncomeLoss_zNGC78TX"/>
            <w:bookmarkEnd w:id="140"/>
          </w:p>
        </w:tc>
      </w:tr>
      <w:tr>
        <w:trPr/>
        <w:tc>
          <w:tcPr>
            <w:tcW w:w="19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823,482</w:t>
            </w:r>
          </w:p>
        </w:tc>
        <w:tc>
          <w:tcPr>
            <w:tcW w:w="112" w:type="dxa"/>
            <w:tcBorders/>
            <w:shd w:fill="CCEEFF" w:val="clear"/>
            <w:vAlign w:val="center"/>
          </w:tcPr>
          <w:p>
            <w:pPr>
              <w:pStyle w:val="TableContents"/>
              <w:bidi w:val="0"/>
              <w:spacing w:before="0" w:after="283"/>
              <w:jc w:val="left"/>
              <w:rPr/>
            </w:pPr>
            <w:r>
              <w:rPr/>
              <w:t> </w:t>
            </w:r>
          </w:p>
        </w:tc>
      </w:tr>
      <w:tr>
        <w:trPr/>
        <w:tc>
          <w:tcPr>
            <w:tcW w:w="19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41" w:name="xdx_435_c20260101__20260331_eus-gaap--St"/>
            <w:bookmarkEnd w:id="141"/>
          </w:p>
        </w:tc>
      </w:tr>
      <w:tr>
        <w:trPr/>
        <w:tc>
          <w:tcPr>
            <w:tcW w:w="19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2" w:name="xdx_982_eus-gaap--SharesOutstanding_iE_p"/>
            <w:bookmarkEnd w:id="142"/>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35,183,890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5,877,682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7,814,724</w:t>
            </w:r>
          </w:p>
        </w:tc>
        <w:tc>
          <w:tcPr>
            <w:tcW w:w="112" w:type="dxa"/>
            <w:tcBorders/>
            <w:shd w:fill="CCEEFF" w:val="clear"/>
            <w:vAlign w:val="center"/>
          </w:tcPr>
          <w:p>
            <w:pPr>
              <w:pStyle w:val="TableContents"/>
              <w:bidi w:val="0"/>
              <w:spacing w:before="0" w:after="283"/>
              <w:jc w:val="left"/>
              <w:rPr/>
            </w:pPr>
            <w:r>
              <w:rPr/>
              <w:t> </w:t>
            </w:r>
            <w:bookmarkStart w:id="143" w:name="xdx_43E_c20260101__20260331_eus-gaap--St"/>
            <w:bookmarkEnd w:id="143"/>
          </w:p>
        </w:tc>
      </w:tr>
      <w:tr>
        <w:trPr/>
        <w:tc>
          <w:tcPr>
            <w:tcW w:w="19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E_eus-gaap--SharesOutstanding_iE_p"/>
            <w:bookmarkEnd w:id="144"/>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35,183,890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5,877,682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7,814,724</w:t>
            </w:r>
          </w:p>
        </w:tc>
        <w:tc>
          <w:tcPr>
            <w:tcW w:w="112"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footnotes are an integral part of these unaudited consolidated financial statements.</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5" w:name="xdx_30B_112_z3AZL7z1v6ue"/>
      <w:bookmarkStart w:id="146" w:name="xdx_30B_112_z3AZL7z1v6ue"/>
      <w:bookmarkEnd w:id="146"/>
    </w:p>
    <w:tbl>
      <w:tblPr>
        <w:tblW w:w="9672" w:type="dxa"/>
        <w:jc w:val="left"/>
        <w:tblInd w:w="0" w:type="dxa"/>
        <w:tblLayout w:type="fixed"/>
        <w:tblCellMar>
          <w:top w:w="0" w:type="dxa"/>
          <w:left w:w="0" w:type="dxa"/>
          <w:bottom w:w="0" w:type="dxa"/>
          <w:right w:w="0" w:type="dxa"/>
        </w:tblCellMar>
      </w:tblPr>
      <w:tblGrid>
        <w:gridCol w:w="6440"/>
        <w:gridCol w:w="60"/>
        <w:gridCol w:w="168"/>
        <w:gridCol w:w="1270"/>
        <w:gridCol w:w="114"/>
        <w:gridCol w:w="72"/>
        <w:gridCol w:w="168"/>
        <w:gridCol w:w="1270"/>
        <w:gridCol w:w="110"/>
      </w:tblGrid>
      <w:tr>
        <w:trPr/>
        <w:tc>
          <w:tcPr>
            <w:tcW w:w="6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7" w:name="xdx_497_20260101__20260331_zMQykzYTdkCe"/>
            <w:bookmarkEnd w:id="147"/>
          </w:p>
        </w:tc>
        <w:tc>
          <w:tcPr>
            <w:tcW w:w="14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bookmarkStart w:id="148" w:name="xdx_497_20250101__20250331_zRRVNBzXQSI6"/>
            <w:bookmarkEnd w:id="148"/>
          </w:p>
        </w:tc>
        <w:tc>
          <w:tcPr>
            <w:tcW w:w="14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Three Months Ended March 31,</w:t>
            </w:r>
          </w:p>
        </w:tc>
        <w:tc>
          <w:tcPr>
            <w:tcW w:w="11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2026</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38"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49" w:name="xdx_401_eus-gaap--NetCashProvidedByUsedI"/>
            <w:bookmarkEnd w:id="149"/>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0" w:name="xdx_407_eus-gaap--NetIncomeLoss_i01_maCz"/>
            <w:bookmarkEnd w:id="150"/>
          </w:p>
        </w:tc>
      </w:tr>
      <w:tr>
        <w:trPr/>
        <w:tc>
          <w:tcPr>
            <w:tcW w:w="6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t>
            </w:r>
          </w:p>
        </w:tc>
        <w:tc>
          <w:tcPr>
            <w:tcW w:w="1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823,482</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654,517</w:t>
            </w:r>
          </w:p>
        </w:tc>
        <w:tc>
          <w:tcPr>
            <w:tcW w:w="110" w:type="dxa"/>
            <w:tcBorders/>
            <w:shd w:fill="FFFFFF" w:val="clear"/>
            <w:vAlign w:val="center"/>
          </w:tcPr>
          <w:p>
            <w:pPr>
              <w:pStyle w:val="TableContents"/>
              <w:bidi w:val="0"/>
              <w:spacing w:before="0" w:after="283"/>
              <w:jc w:val="left"/>
              <w:rPr/>
            </w:pPr>
            <w:r>
              <w:rPr/>
              <w:t> </w:t>
            </w:r>
            <w:bookmarkStart w:id="151" w:name="xdx_405_eus-gaap--AdjustmentsToReconcile"/>
            <w:bookmarkEnd w:id="151"/>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Reconciliation of net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2" w:name="xdx_40B_eus-gaap--Depreciation_i02_maCzz"/>
            <w:bookmarkEnd w:id="152"/>
          </w:p>
        </w:tc>
      </w:tr>
      <w:tr>
        <w:trPr/>
        <w:tc>
          <w:tcPr>
            <w:tcW w:w="6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expenses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12,245</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14,126</w:t>
            </w:r>
          </w:p>
        </w:tc>
        <w:tc>
          <w:tcPr>
            <w:tcW w:w="110" w:type="dxa"/>
            <w:tcBorders/>
            <w:shd w:fill="FFFFFF" w:val="clear"/>
            <w:vAlign w:val="center"/>
          </w:tcPr>
          <w:p>
            <w:pPr>
              <w:pStyle w:val="TableContents"/>
              <w:bidi w:val="0"/>
              <w:spacing w:before="0" w:after="283"/>
              <w:jc w:val="left"/>
              <w:rPr/>
            </w:pPr>
            <w:r>
              <w:rPr/>
              <w:t> </w:t>
            </w:r>
            <w:bookmarkStart w:id="153" w:name="xdx_400_eus-gaap--OperatingLeaseRightOfU"/>
            <w:bookmarkEnd w:id="153"/>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operating lease right-of-use lease 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21,038</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55,383</w:t>
            </w:r>
          </w:p>
        </w:tc>
        <w:tc>
          <w:tcPr>
            <w:tcW w:w="110" w:type="dxa"/>
            <w:tcBorders/>
            <w:shd w:fill="CCEEFF" w:val="clear"/>
            <w:vAlign w:val="center"/>
          </w:tcPr>
          <w:p>
            <w:pPr>
              <w:pStyle w:val="TableContents"/>
              <w:bidi w:val="0"/>
              <w:spacing w:before="0" w:after="283"/>
              <w:jc w:val="left"/>
              <w:rPr/>
            </w:pPr>
            <w:r>
              <w:rPr/>
              <w:t> </w:t>
            </w:r>
            <w:bookmarkStart w:id="154" w:name="xdx_40E_ecustom--DeferredTaxAssets_i02N_"/>
            <w:bookmarkEnd w:id="154"/>
          </w:p>
        </w:tc>
      </w:tr>
      <w:tr>
        <w:trPr/>
        <w:tc>
          <w:tcPr>
            <w:tcW w:w="6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211,535</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238,899</w:t>
            </w:r>
          </w:p>
        </w:tc>
        <w:tc>
          <w:tcPr>
            <w:tcW w:w="110" w:type="dxa"/>
            <w:tcBorders/>
            <w:shd w:fill="FFFFFF" w:val="clear"/>
            <w:vAlign w:val="center"/>
          </w:tcPr>
          <w:p>
            <w:pPr>
              <w:pStyle w:val="TableContents"/>
              <w:bidi w:val="0"/>
              <w:spacing w:before="0" w:after="283"/>
              <w:jc w:val="left"/>
              <w:rPr/>
            </w:pPr>
            <w:r>
              <w:rPr/>
              <w:t> </w:t>
            </w:r>
            <w:bookmarkStart w:id="155" w:name="xdx_404_eus-gaap--ShareBasedCompensation"/>
            <w:bookmarkEnd w:id="155"/>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14,999</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CCEEFF" w:val="clear"/>
            <w:vAlign w:val="center"/>
          </w:tcPr>
          <w:p>
            <w:pPr>
              <w:pStyle w:val="TableContents"/>
              <w:bidi w:val="0"/>
              <w:spacing w:before="0" w:after="283"/>
              <w:jc w:val="left"/>
              <w:rPr/>
            </w:pPr>
            <w:r>
              <w:rPr/>
              <w:t> </w:t>
            </w:r>
            <w:bookmarkStart w:id="156" w:name="xdx_40D_eus-gaap--InventoryWriteDown_i02"/>
            <w:bookmarkEnd w:id="156"/>
          </w:p>
        </w:tc>
      </w:tr>
      <w:tr>
        <w:trPr/>
        <w:tc>
          <w:tcPr>
            <w:tcW w:w="6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 allowance</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409,455</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497,347</w:t>
            </w:r>
          </w:p>
        </w:tc>
        <w:tc>
          <w:tcPr>
            <w:tcW w:w="110" w:type="dxa"/>
            <w:tcBorders/>
            <w:shd w:fill="FFFFFF" w:val="clear"/>
            <w:vAlign w:val="center"/>
          </w:tcPr>
          <w:p>
            <w:pPr>
              <w:pStyle w:val="TableContents"/>
              <w:bidi w:val="0"/>
              <w:spacing w:before="0" w:after="283"/>
              <w:jc w:val="left"/>
              <w:rPr/>
            </w:pPr>
            <w:r>
              <w:rPr/>
              <w:t> </w:t>
            </w:r>
            <w:bookmarkStart w:id="157" w:name="xdx_409_eus-gaap--ForeignCurrencyTransac"/>
            <w:bookmarkEnd w:id="157"/>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foreign exchange gain</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(35,568</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(24,826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8" w:name="xdx_408_eus-gaap--IncreaseDecreaseInOper"/>
            <w:bookmarkEnd w:id="158"/>
          </w:p>
        </w:tc>
      </w:tr>
      <w:tr>
        <w:trPr/>
        <w:tc>
          <w:tcPr>
            <w:tcW w:w="6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9" w:name="xdx_401_eus-gaap--IncreaseDecreaseInAcco"/>
            <w:bookmarkEnd w:id="159"/>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(629,177</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1,256,305</w:t>
            </w:r>
          </w:p>
        </w:tc>
        <w:tc>
          <w:tcPr>
            <w:tcW w:w="110" w:type="dxa"/>
            <w:tcBorders/>
            <w:shd w:fill="CCEEFF" w:val="clear"/>
            <w:vAlign w:val="center"/>
          </w:tcPr>
          <w:p>
            <w:pPr>
              <w:pStyle w:val="TableContents"/>
              <w:bidi w:val="0"/>
              <w:spacing w:before="0" w:after="283"/>
              <w:jc w:val="left"/>
              <w:rPr/>
            </w:pPr>
            <w:r>
              <w:rPr/>
              <w:t> </w:t>
            </w:r>
            <w:bookmarkStart w:id="160" w:name="xdx_40A_eus-gaap--IncreaseDecreaseInInve"/>
            <w:bookmarkEnd w:id="160"/>
          </w:p>
        </w:tc>
      </w:tr>
      <w:tr>
        <w:trPr/>
        <w:tc>
          <w:tcPr>
            <w:tcW w:w="6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(3,198,284</w:t>
            </w:r>
          </w:p>
        </w:tc>
        <w:tc>
          <w:tcPr>
            <w:tcW w:w="11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(1,746,197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1" w:name="xdx_404_eus-gaap--IncreaseDecreaseInPrep"/>
            <w:bookmarkEnd w:id="161"/>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(195,783</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(286,791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2" w:name="xdx_407_eus-gaap--IncreaseDecreaseInAcco"/>
            <w:bookmarkEnd w:id="162"/>
          </w:p>
        </w:tc>
      </w:tr>
      <w:tr>
        <w:trPr/>
        <w:tc>
          <w:tcPr>
            <w:tcW w:w="6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3,583,485</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2,683,231</w:t>
            </w:r>
          </w:p>
        </w:tc>
        <w:tc>
          <w:tcPr>
            <w:tcW w:w="110" w:type="dxa"/>
            <w:tcBorders/>
            <w:shd w:fill="FFFFFF" w:val="clear"/>
            <w:vAlign w:val="center"/>
          </w:tcPr>
          <w:p>
            <w:pPr>
              <w:pStyle w:val="TableContents"/>
              <w:bidi w:val="0"/>
              <w:spacing w:before="0" w:after="283"/>
              <w:jc w:val="left"/>
              <w:rPr/>
            </w:pPr>
            <w:r>
              <w:rPr/>
              <w:t> </w:t>
            </w:r>
            <w:bookmarkStart w:id="163" w:name="xdx_409_ecustom--IncreaseDecreaseInCredi"/>
            <w:bookmarkEnd w:id="163"/>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Credit cards payable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(639,509</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(985,515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4" w:name="xdx_40C_eus-gaap--IncreaseDecreaseInAccr"/>
            <w:bookmarkEnd w:id="164"/>
          </w:p>
        </w:tc>
      </w:tr>
      <w:tr>
        <w:trPr/>
        <w:tc>
          <w:tcPr>
            <w:tcW w:w="6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(2,612,327</w:t>
            </w:r>
          </w:p>
        </w:tc>
        <w:tc>
          <w:tcPr>
            <w:tcW w:w="11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(2,338,386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5" w:name="xdx_406_eus-gaap--IncreaseDecreaseInOper"/>
            <w:bookmarkEnd w:id="165"/>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(21,809</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(56,984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 w:name="xdx_409_eus-gaap--IncreaseDecreaseInAccr"/>
            <w:bookmarkEnd w:id="166"/>
          </w:p>
        </w:tc>
      </w:tr>
      <w:tr>
        <w:trPr/>
        <w:tc>
          <w:tcPr>
            <w:tcW w:w="6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54,815</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67" w:name="xdx_40F_eus-gaap--NetCashProvidedByUsedI"/>
            <w:bookmarkEnd w:id="167"/>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(2,201,403</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(23,891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8" w:name="xdx_407_eus-gaap--NetCashProvidedByUsedI"/>
            <w:bookmarkEnd w:id="168"/>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9" w:name="xdx_402_eus-gaap--PaymentsToAcquirePrope"/>
            <w:bookmarkEnd w:id="169"/>
          </w:p>
        </w:tc>
      </w:tr>
      <w:tr>
        <w:trPr/>
        <w:tc>
          <w:tcPr>
            <w:tcW w:w="6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(5,662</w:t>
            </w:r>
          </w:p>
        </w:tc>
        <w:tc>
          <w:tcPr>
            <w:tcW w:w="11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0" w:name="xdx_408_eus-gaap--NetCashProvidedByUsedI"/>
            <w:bookmarkEnd w:id="170"/>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(5,662</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1" w:name="xdx_400_eus-gaap--NetCashProvidedByUsedI"/>
            <w:bookmarkEnd w:id="171"/>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2" w:name="xdx_40E_ecustom--PaymentsToRelatedPartie"/>
            <w:bookmarkEnd w:id="172"/>
          </w:p>
        </w:tc>
      </w:tr>
      <w:tr>
        <w:trPr/>
        <w:tc>
          <w:tcPr>
            <w:tcW w:w="6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to related parties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(600,000</w:t>
            </w:r>
          </w:p>
        </w:tc>
        <w:tc>
          <w:tcPr>
            <w:tcW w:w="11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3" w:name="xdx_40F_eus-gaap--NetCashProvidedByUsedI"/>
            <w:bookmarkEnd w:id="173"/>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(600,000</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4" w:name="xdx_405_eus-gaap--EffectOfExchangeRateOn"/>
            <w:bookmarkEnd w:id="174"/>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changes in foreign currency exchange rates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7,918</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4,152</w:t>
            </w:r>
          </w:p>
        </w:tc>
        <w:tc>
          <w:tcPr>
            <w:tcW w:w="110" w:type="dxa"/>
            <w:tcBorders/>
            <w:shd w:fill="CCEEFF"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5" w:name="xdx_407_eus-gaap--CashCashEquivalentsRes"/>
            <w:bookmarkEnd w:id="175"/>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 in cash</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(2,799,147</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(859,459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6" w:name="xdx_408_eus-gaap--CashCashEquivalentsRes"/>
            <w:bookmarkEnd w:id="176"/>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beginning of period</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3,792,033</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2,119,581</w:t>
            </w:r>
          </w:p>
        </w:tc>
        <w:tc>
          <w:tcPr>
            <w:tcW w:w="110" w:type="dxa"/>
            <w:tcBorders/>
            <w:shd w:fill="CCEEFF"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7" w:name="xdx_40E_eus-gaap--CashCashEquivalentsRes"/>
            <w:bookmarkEnd w:id="177"/>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end of period</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992,886</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1,260,122</w:t>
            </w:r>
          </w:p>
        </w:tc>
        <w:tc>
          <w:tcPr>
            <w:tcW w:w="110" w:type="dxa"/>
            <w:tcBorders/>
            <w:shd w:fill="CCEEFF"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8" w:name="xdx_408_eus-gaap--SupplementalCashFlowIn"/>
            <w:bookmarkEnd w:id="178"/>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9" w:name="xdx_404_eus-gaap--InterestPaidNet_i01_zy"/>
            <w:bookmarkEnd w:id="179"/>
          </w:p>
        </w:tc>
      </w:tr>
      <w:tr>
        <w:trPr/>
        <w:tc>
          <w:tcPr>
            <w:tcW w:w="6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t>
            </w:r>
          </w:p>
        </w:tc>
        <w:tc>
          <w:tcPr>
            <w:tcW w:w="1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5,302</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4,986</w:t>
            </w:r>
          </w:p>
        </w:tc>
        <w:tc>
          <w:tcPr>
            <w:tcW w:w="110" w:type="dxa"/>
            <w:tcBorders/>
            <w:shd w:fill="FFFFFF" w:val="clear"/>
            <w:vAlign w:val="center"/>
          </w:tcPr>
          <w:p>
            <w:pPr>
              <w:pStyle w:val="TableContents"/>
              <w:bidi w:val="0"/>
              <w:spacing w:before="0" w:after="283"/>
              <w:jc w:val="left"/>
              <w:rPr/>
            </w:pPr>
            <w:r>
              <w:rPr/>
              <w:t> </w:t>
            </w:r>
            <w:bookmarkStart w:id="180" w:name="xdx_403_eus-gaap--IncomeTaxesPaidNet_i01"/>
            <w:bookmarkEnd w:id="180"/>
          </w:p>
        </w:tc>
      </w:tr>
      <w:tr>
        <w:trPr/>
        <w:tc>
          <w:tcPr>
            <w:tcW w:w="6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w:t>
            </w:r>
          </w:p>
        </w:tc>
        <w:tc>
          <w:tcPr>
            <w:tcW w:w="1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2,630</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footnotes are an integral part of these unaudited consolidated financial statements.</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81" w:name="xdx_80C_eus-gaap--OrganizationConsolidat"/>
      <w:bookmarkEnd w:id="181"/>
      <w:r>
        <w:rPr>
          <w:rFonts w:ascii="Times New Roman;Times;Serif" w:hAnsi="Times New Roman;Times;Serif"/>
          <w:b/>
          <w:i w:val="false"/>
          <w:caps w:val="false"/>
          <w:smallCaps w:val="false"/>
          <w:sz w:val="20"/>
        </w:rPr>
        <w:t xml:space="preserve">NOTE 1 - </w:t>
      </w:r>
      <w:bookmarkStart w:id="182" w:name="xdx_829_zijBslHt5vG4"/>
      <w:bookmarkEnd w:id="182"/>
      <w:r>
        <w:rPr>
          <w:rFonts w:ascii="Times New Roman;Times;Serif" w:hAnsi="Times New Roman;Times;Serif"/>
          <w:b/>
          <w:i w:val="false"/>
          <w:caps w:val="false"/>
          <w:smallCaps w:val="false"/>
          <w:sz w:val="20"/>
        </w:rPr>
        <w:t>Nature of Operations and Summary of Significant Accounting Policies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Hour Loop, Inc. (“Hour Loop” or the “Company”) is a technology-enabled consumer products company that uses machine learning and data analytics to design, develop, market and sell products. Hour Loop predominantly operates through online retail channels such as Amazon, Walmart, and </w:t>
      </w:r>
      <w:r>
        <w:rPr>
          <w:rFonts w:ascii="Times New Roman;Times;Serif" w:hAnsi="Times New Roman;Times;Serif"/>
          <w:b w:val="false"/>
          <w:i/>
          <w:caps w:val="false"/>
          <w:smallCaps w:val="false"/>
          <w:sz w:val="20"/>
        </w:rPr>
        <w:t>Hourloop.com</w:t>
      </w:r>
      <w:r>
        <w:rPr>
          <w:rFonts w:ascii="Times New Roman;Times;Serif" w:hAnsi="Times New Roman;Times;Serif"/>
          <w:b w:val="false"/>
          <w:i w:val="false"/>
          <w:caps w:val="false"/>
          <w:smallCaps w:val="false"/>
          <w:sz w:val="20"/>
        </w:rPr>
        <w:t xml:space="preserve">. The Company, as an Internet marketplace seller, sells products in multiple categories, including home/garden décor, toys, kitchenware, apparel, and electronics. The Company has only </w:t>
      </w:r>
      <w:bookmarkStart w:id="183" w:name="xdx_900_eus-gaap--NumberOfOperatingSegme"/>
      <w:bookmarkEnd w:id="183"/>
      <w:r>
        <w:rPr>
          <w:rFonts w:ascii="Times New Roman;Times;Serif" w:hAnsi="Times New Roman;Times;Serif"/>
          <w:b w:val="false"/>
          <w:i w:val="false"/>
          <w:caps w:val="false"/>
          <w:smallCaps w:val="false"/>
          <w:sz w:val="20"/>
        </w:rPr>
        <w:t>one segment, which is online retail (e-commerce).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on January 13, 2015 under the laws of the state of Washington. On April 7, 2021, the Company was converted from a Washington corporation to a Delaware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Hour Loop formed Flywheel Consulting Ltd. (“Flywheel”), a wholly owned subsidiary located in Taiwan, to provide business operating consulting services exclusively to Hour Loop.</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bookmarkStart w:id="184" w:name="xdx_867_zOZ4bGl5oHv2"/>
      <w:bookmarkStart w:id="185" w:name="xdx_843_eus-gaap--BasisOfAccountingPolic"/>
      <w:bookmarkEnd w:id="184"/>
      <w:bookmarkEnd w:id="185"/>
      <w:r>
        <w:rPr>
          <w:rFonts w:ascii="Times New Roman;Times;Serif" w:hAnsi="Times New Roman;Times;Serif"/>
          <w:b/>
          <w:i w:val="false"/>
          <w:caps w:val="false"/>
          <w:smallCaps w:val="false"/>
          <w:sz w:val="20"/>
        </w:rPr>
        <w:t>Basis of Presentation</w:t>
      </w:r>
      <w:r>
        <w:rPr>
          <w:rFonts w:ascii="Times New Roman;Times;Serif" w:hAnsi="Times New Roman;Times;Serif"/>
          <w:b w:val="false"/>
          <w:i w:val="false"/>
          <w:caps w:val="false"/>
          <w:smallCaps w:val="false"/>
          <w:sz w:val="20"/>
        </w:rPr>
        <w:t xml:space="preserve"> - These unaudited consolidated financial statements have been prepared in accordance with rules and regulations of the Securities and Exchange Commission (“SEC”) and accounting principles generally accepted in the United States of America (“U.S. GAAP”) for interim financial information and with the instructions to Form 10-Q and Regulation S-X. Accordingly, the unaudited consolidated financial statements do not include all of the information and footnotes required by U.S. GAAP for complete financial statements. In the opinion of management, the Company have included all adjustments considered necessary for a fair presentation and such adjustments are of a normal recurring nature. These unaudited consolidated financial statements should be read in conjunction with the consolidated financial statements for the year ended December 31, 2025 and notes thereto and other pertinent information contained in the Company’s Annual Report on Form 10-K as filed with the SEC on March 24, 2026.</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bookmarkStart w:id="186" w:name="xdx_86E_zZuxXQPkmR8g"/>
      <w:bookmarkStart w:id="187" w:name="xdx_84A_eus-gaap--ConsolidationPolicyTex"/>
      <w:bookmarkEnd w:id="186"/>
      <w:bookmarkEnd w:id="187"/>
      <w:r>
        <w:rPr>
          <w:rFonts w:ascii="Times New Roman;Times;Serif" w:hAnsi="Times New Roman;Times;Serif"/>
          <w:b/>
          <w:i w:val="false"/>
          <w:caps w:val="false"/>
          <w:smallCaps w:val="false"/>
          <w:sz w:val="20"/>
        </w:rPr>
        <w:t>Principles of Consolidation</w:t>
      </w:r>
      <w:r>
        <w:rPr>
          <w:rFonts w:ascii="Times New Roman;Times;Serif" w:hAnsi="Times New Roman;Times;Serif"/>
          <w:b w:val="false"/>
          <w:i w:val="false"/>
          <w:caps w:val="false"/>
          <w:smallCaps w:val="false"/>
          <w:sz w:val="20"/>
        </w:rPr>
        <w:t xml:space="preserve"> - The unaudited consolidated financial statements include the accounts of Hour Loop and Flywheel. All material inter-company accounts and transactions were eliminated in consolidation.</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188" w:name="xdx_86D_zFUa1gjS3sg"/>
      <w:bookmarkStart w:id="189" w:name="xdx_84E_eus-gaap--ForeignCurrencyTransac"/>
      <w:bookmarkEnd w:id="188"/>
      <w:bookmarkEnd w:id="189"/>
      <w:r>
        <w:rPr>
          <w:rFonts w:ascii="Times New Roman;Times;Serif" w:hAnsi="Times New Roman;Times;Serif"/>
          <w:b/>
          <w:i w:val="false"/>
          <w:caps w:val="false"/>
          <w:smallCaps w:val="false"/>
          <w:sz w:val="20"/>
        </w:rPr>
        <w:t>Foreign Currency and Currency Translation</w:t>
      </w:r>
      <w:r>
        <w:rPr>
          <w:rFonts w:ascii="Times New Roman;Times;Serif" w:hAnsi="Times New Roman;Times;Serif"/>
          <w:b w:val="false"/>
          <w:i w:val="false"/>
          <w:caps w:val="false"/>
          <w:smallCaps w:val="false"/>
          <w:sz w:val="20"/>
        </w:rPr>
        <w:t xml:space="preserve"> - The assets and liabilities of Flywheel, having a functional currency other than the U.S. dollar, are translated into U.S. dollars at exchange rates in effect at period-end, with resulting translation gains or losses included within other comprehensive income or loss. Revenues and expenses are translated into U.S. dollars at average monthly rates of exchange in effect during each period. All of the Company’s foreign operations use their local currency as their functional currency. Currency gains or losses resulting from transactions executed in currencies other than the functional currency are included in General and administrative in the consolidated statement of operations and other comprehensive income.</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bookmarkStart w:id="190" w:name="xdx_89F_eus-gaap--ScheduleOfForeignExcha"/>
      <w:bookmarkEnd w:id="190"/>
      <w:r>
        <w:rPr>
          <w:rFonts w:ascii="Times New Roman;Times;Serif" w:hAnsi="Times New Roman;Times;Serif"/>
          <w:b w:val="false"/>
          <w:i w:val="false"/>
          <w:caps w:val="false"/>
          <w:smallCaps w:val="false"/>
          <w:sz w:val="20"/>
        </w:rPr>
        <w:t>The relevant exchange rates are listed below:</w:t>
      </w:r>
    </w:p>
    <w:p>
      <w:pPr>
        <w:pStyle w:val="TextBody"/>
        <w:shd w:fill="FFFFFF" w:val="clear"/>
        <w:bidi w:val="0"/>
        <w:jc w:val="both"/>
        <w:rPr>
          <w:rFonts w:ascii="Times New Roman;Times;Serif" w:hAnsi="Times New Roman;Times;Serif"/>
          <w:b w:val="false"/>
          <w:i w:val="false"/>
          <w:caps w:val="false"/>
          <w:smallCaps w:val="false"/>
          <w:sz w:val="20"/>
        </w:rPr>
      </w:pPr>
      <w:bookmarkStart w:id="191" w:name="xdx_8B2_zyERh3yWPnt2"/>
      <w:bookmarkEnd w:id="191"/>
      <w:r>
        <w:rPr>
          <w:rFonts w:ascii="Times New Roman;Times;Serif" w:hAnsi="Times New Roman;Times;Serif"/>
          <w:b w:val="false"/>
          <w:i w:val="false"/>
          <w:caps w:val="false"/>
          <w:smallCaps w:val="false"/>
          <w:sz w:val="20"/>
        </w:rPr>
        <w:t>Schedule of Foreign Currency Exchange Rates </w:t>
      </w:r>
    </w:p>
    <w:tbl>
      <w:tblPr>
        <w:tblW w:w="7757" w:type="dxa"/>
        <w:jc w:val="left"/>
        <w:tblInd w:w="0" w:type="dxa"/>
        <w:tblLayout w:type="fixed"/>
        <w:tblCellMar>
          <w:top w:w="0" w:type="dxa"/>
          <w:left w:w="0" w:type="dxa"/>
          <w:bottom w:w="0" w:type="dxa"/>
          <w:right w:w="0" w:type="dxa"/>
        </w:tblCellMar>
      </w:tblPr>
      <w:tblGrid>
        <w:gridCol w:w="4070"/>
        <w:gridCol w:w="60"/>
        <w:gridCol w:w="147"/>
        <w:gridCol w:w="697"/>
        <w:gridCol w:w="60"/>
        <w:gridCol w:w="60"/>
        <w:gridCol w:w="240"/>
        <w:gridCol w:w="1174"/>
        <w:gridCol w:w="60"/>
        <w:gridCol w:w="60"/>
        <w:gridCol w:w="180"/>
        <w:gridCol w:w="874"/>
        <w:gridCol w:w="7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March 31, </w:t>
              <w:br/>
              <w:t>2025</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Period NTD: USD exchange rate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92" w:name="xdx_98E_eus-gaap--ForeignCurrencyExchang"/>
            <w:bookmarkEnd w:id="192"/>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3" w:name="xdx_986_eus-gaap--ForeignCurrencyExchang"/>
            <w:bookmarkEnd w:id="193"/>
          </w:p>
        </w:tc>
        <w:tc>
          <w:tcPr>
            <w:tcW w:w="11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4" w:name="xdx_988_eus-gaap--ForeignCurrencyExchang"/>
            <w:bookmarkEnd w:id="194"/>
          </w:p>
        </w:tc>
        <w:tc>
          <w:tcPr>
            <w:tcW w:w="8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33.155</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Period Average NTD: USD exchange rate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95" w:name="xdx_988_eus-gaap--ForeignCurrencyExchang"/>
            <w:bookmarkEnd w:id="195"/>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6" w:name="xdx_98E_eus-gaap--ForeignCurrencyExchang"/>
            <w:bookmarkEnd w:id="196"/>
          </w:p>
        </w:tc>
        <w:tc>
          <w:tcPr>
            <w:tcW w:w="11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7" w:name="xdx_984_eus-gaap--ForeignCurrencyExchang"/>
            <w:bookmarkEnd w:id="197"/>
          </w:p>
        </w:tc>
        <w:tc>
          <w:tcPr>
            <w:tcW w:w="8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32.938</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jc w:val="both"/>
        <w:rPr>
          <w:caps w:val="false"/>
          <w:smallCaps w:val="false"/>
        </w:rPr>
      </w:pPr>
      <w:bookmarkStart w:id="198" w:name="xdx_8A0_zy6LM3z3GXTi"/>
      <w:bookmarkEnd w:id="19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199" w:name="xdx_865_zxK2C0svBUPc"/>
      <w:bookmarkStart w:id="200" w:name="xdx_84E_eus-gaap--UseOfEstimates_zjyMbSi"/>
      <w:bookmarkEnd w:id="199"/>
      <w:bookmarkEnd w:id="200"/>
      <w:r>
        <w:rPr>
          <w:rFonts w:ascii="Times New Roman;Times;Serif" w:hAnsi="Times New Roman;Times;Serif"/>
          <w:b/>
          <w:i w:val="false"/>
          <w:caps w:val="false"/>
          <w:smallCaps w:val="false"/>
          <w:sz w:val="20"/>
        </w:rPr>
        <w:t>Use of Estimates</w:t>
      </w:r>
      <w:r>
        <w:rPr>
          <w:rFonts w:ascii="Times New Roman;Times;Serif" w:hAnsi="Times New Roman;Times;Serif"/>
          <w:b w:val="false"/>
          <w:i w:val="false"/>
          <w:caps w:val="false"/>
          <w:smallCaps w:val="false"/>
          <w:sz w:val="20"/>
        </w:rPr>
        <w:t xml:space="preserve"> -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estimates include, but are not limited to, estimates associated with the collectability of accounts receivable, useful life of property and equipment, impairment of long-lived assets, valuation allowance for deferred tax assets, inventory valuation and inventory provision.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01" w:name="xdx_864_z9SHfZgS3Az8"/>
      <w:bookmarkStart w:id="202" w:name="xdx_847_eus-gaap--CashAndCashEquivalents"/>
      <w:bookmarkEnd w:id="201"/>
      <w:bookmarkEnd w:id="202"/>
      <w:r>
        <w:rPr>
          <w:rFonts w:ascii="Times New Roman;Times;Serif" w:hAnsi="Times New Roman;Times;Serif"/>
          <w:b/>
          <w:i w:val="false"/>
          <w:caps w:val="false"/>
          <w:smallCaps w:val="false"/>
          <w:sz w:val="20"/>
        </w:rPr>
        <w:t>Cash and Cash Equivalents</w:t>
      </w:r>
      <w:r>
        <w:rPr>
          <w:rFonts w:ascii="Times New Roman;Times;Serif" w:hAnsi="Times New Roman;Times;Serif"/>
          <w:b w:val="false"/>
          <w:i w:val="false"/>
          <w:caps w:val="false"/>
          <w:smallCaps w:val="false"/>
          <w:sz w:val="20"/>
        </w:rPr>
        <w:t xml:space="preserve"> - The Company considers all highly liquid financial instruments purchased with original maturities of three months or less to be cash. The Company’s cash is held in the bank and covered by the Federal Deposit Insurance Corporation (“FDIC”), subject to applicable limits. Deposits are insured up to $</w:t>
      </w:r>
      <w:bookmarkStart w:id="203" w:name="xdx_906_eus-gaap--CashFDICInsuredAmount_"/>
      <w:bookmarkEnd w:id="203"/>
      <w:r>
        <w:rPr>
          <w:rFonts w:ascii="Times New Roman;Times;Serif" w:hAnsi="Times New Roman;Times;Serif"/>
          <w:b w:val="false"/>
          <w:i w:val="false"/>
          <w:caps w:val="false"/>
          <w:smallCaps w:val="false"/>
          <w:sz w:val="20"/>
        </w:rPr>
        <w:t>250,000 per depositor, per FDIC-insured bank, per ownership category. Cash equivalents and marketable securities are comprised of time deposits, money market funds, highly liquid government bonds, corporate debt securities, mortgage-backed and asset-backed securities, and marketable equity securities. The Company’s cash and cash equivalents primarily consisted of cash and money market funds. Such amounts are recorded at fair value.</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04" w:name="xdx_863_zz086VCzV829"/>
      <w:bookmarkStart w:id="205" w:name="xdx_84F_eus-gaap--TradeAndOtherAccountsR"/>
      <w:bookmarkEnd w:id="204"/>
      <w:bookmarkEnd w:id="205"/>
      <w:r>
        <w:rPr>
          <w:rFonts w:ascii="Times New Roman;Times;Serif" w:hAnsi="Times New Roman;Times;Serif"/>
          <w:b/>
          <w:i w:val="false"/>
          <w:caps w:val="false"/>
          <w:smallCaps w:val="false"/>
          <w:sz w:val="20"/>
        </w:rPr>
        <w:t>Accounts Receivable and Allowance for Credit Losses</w:t>
      </w:r>
      <w:r>
        <w:rPr>
          <w:rFonts w:ascii="Times New Roman;Times;Serif" w:hAnsi="Times New Roman;Times;Serif"/>
          <w:b w:val="false"/>
          <w:i w:val="false"/>
          <w:caps w:val="false"/>
          <w:smallCaps w:val="false"/>
          <w:sz w:val="20"/>
        </w:rPr>
        <w:t xml:space="preserve"> - Accounts receivable are stated at historical cost less allowance for credit loss. On a periodic basis, management evaluates its accounts receivable and determines whether to provide an allowance for credit losses in accordance with the Financial Accounting Standards Board’s (“FASB”) Accounting Standards Codification (“ASC”) Topic 326. Credit losses are provided based on a past history of write-offs, collections, current credit conditions, current economic conditions, reasonable and supportable forecasts of future economic conditions. The evaluation is performed on a collective basis where similar characteristics exist, primarily based on similar services or products offerings. The Company adopted the standard effective January 1, 2023. The impact of the adoption was not considered material to the financial statements and primarily resulted in new/enhanced disclosures only. A receivable is considered past due if the Company has not received payments based on agreed-upon terms. The Company generally does not require any security or collateral to support its receivables. The collection is primarily through Amazon and the collection period is usually less than seven days. The Company performs on-going evaluations of its customers and maintains an allowance for credit losses as the Company deems necessary or appropriate. As of March 31, 2026 and December 31, 2025, the Company did not deem it necessary to have an allowance for credit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06" w:name="xdx_861_zUrJEP6Y0JZh"/>
      <w:bookmarkStart w:id="207" w:name="xdx_84A_eus-gaap--InventoryPolicyTextBlo"/>
      <w:bookmarkEnd w:id="206"/>
      <w:bookmarkEnd w:id="207"/>
      <w:r>
        <w:rPr>
          <w:rFonts w:ascii="Times New Roman;Times;Serif" w:hAnsi="Times New Roman;Times;Serif"/>
          <w:b/>
          <w:i w:val="false"/>
          <w:caps w:val="false"/>
          <w:smallCaps w:val="false"/>
          <w:sz w:val="20"/>
        </w:rPr>
        <w:t>Inventory and Cost of Goods Sold</w:t>
      </w:r>
      <w:r>
        <w:rPr>
          <w:rFonts w:ascii="Times New Roman;Times;Serif" w:hAnsi="Times New Roman;Times;Serif"/>
          <w:b w:val="false"/>
          <w:i w:val="false"/>
          <w:caps w:val="false"/>
          <w:smallCaps w:val="false"/>
          <w:sz w:val="20"/>
        </w:rPr>
        <w:t xml:space="preserve"> - The Company’s inventory consists mainly of finished goods. Inventories are stated at the lower of cost or net realizable value. Cost is principally determined on a first-in-first-out basis. The Company’s costs include the amounts it pays manufacturers for product, tariffs and duties associated with transporting product across national borders, and freight costs associated with transporting the product from its manufacturers to its warehouses, as applicable. The merchandise with terms of FOB shipping point from vendors was recorded as the inventory-in-transit when inventory left the shipping dock of the vendors but not yet reached the receiving dock of the Company. Management continually evaluates its estimates and judgments including those related to merchandise inventory.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revenues” line item in the unaudited consolidated statements of operations is principally inventory sold to customers during the reporting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 for inventory allowance: The Company writes down the cost of obsolete and slow-moving inventories to the estimated net realizable value, based on inventory obsolescence trends, historical experience, forecasted consumer demand and application of the specific identification method. As of March 31, 2026 and December 31, 2025, $</w:t>
      </w:r>
      <w:bookmarkStart w:id="208" w:name="xdx_908_eus-gaap--InventoryWriteDown_c20"/>
      <w:bookmarkEnd w:id="208"/>
      <w:r>
        <w:rPr>
          <w:rFonts w:ascii="Times New Roman;Times;Serif" w:hAnsi="Times New Roman;Times;Serif"/>
          <w:b w:val="false"/>
          <w:i w:val="false"/>
          <w:caps w:val="false"/>
          <w:smallCaps w:val="false"/>
          <w:sz w:val="20"/>
        </w:rPr>
        <w:t>409,455 and $</w:t>
      </w:r>
      <w:bookmarkStart w:id="209" w:name="xdx_908_eus-gaap--InventoryWriteDown_c20"/>
      <w:bookmarkEnd w:id="209"/>
      <w:r>
        <w:rPr>
          <w:rFonts w:ascii="Times New Roman;Times;Serif" w:hAnsi="Times New Roman;Times;Serif"/>
          <w:b w:val="false"/>
          <w:i w:val="false"/>
          <w:caps w:val="false"/>
          <w:smallCaps w:val="false"/>
          <w:sz w:val="20"/>
        </w:rPr>
        <w:t>447,841, respectively, were written down from the cost of inventories to their net realizable values. Full inventory allowance is recorded for the inventory stock-keeping unit (“SKU”) not sold for more than one year.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10" w:name="xdx_86F_znmT9EHBgxV5"/>
      <w:bookmarkStart w:id="211" w:name="xdx_841_eus-gaap--PropertyPlantAndEquipm"/>
      <w:bookmarkEnd w:id="210"/>
      <w:bookmarkEnd w:id="211"/>
      <w:r>
        <w:rPr>
          <w:rFonts w:ascii="Times New Roman;Times;Serif" w:hAnsi="Times New Roman;Times;Serif"/>
          <w:b/>
          <w:i w:val="false"/>
          <w:caps w:val="false"/>
          <w:smallCaps w:val="false"/>
          <w:sz w:val="20"/>
        </w:rPr>
        <w:t>Property and Equipment</w:t>
      </w:r>
      <w:r>
        <w:rPr>
          <w:rFonts w:ascii="Times New Roman;Times;Serif" w:hAnsi="Times New Roman;Times;Serif"/>
          <w:b w:val="false"/>
          <w:i w:val="false"/>
          <w:caps w:val="false"/>
          <w:smallCaps w:val="false"/>
          <w:sz w:val="20"/>
        </w:rPr>
        <w:t xml:space="preserve"> - Property and equipment are recorded at cost and depreciated or amortized over the estimated useful life of the asset using the straight-line method. The Company elected to expense any individual property and equipment items under $</w:t>
      </w:r>
      <w:bookmarkStart w:id="212" w:name="xdx_902_eus-gaap--CostOfPropertyRepairsA"/>
      <w:bookmarkEnd w:id="212"/>
      <w:r>
        <w:rPr>
          <w:rFonts w:ascii="Times New Roman;Times;Serif" w:hAnsi="Times New Roman;Times;Serif"/>
          <w:b w:val="false"/>
          <w:i w:val="false"/>
          <w:caps w:val="false"/>
          <w:smallCaps w:val="false"/>
          <w:sz w:val="20"/>
        </w:rPr>
        <w:t>2,500.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majority of the Company’s property and equipment is computers, and the estimated useful life is </w:t>
      </w:r>
      <w:bookmarkStart w:id="213" w:name="xdx_901_eus-gaap--PropertyPlantAndEquipm"/>
      <w:bookmarkEnd w:id="213"/>
      <w:r>
        <w:rPr>
          <w:rFonts w:ascii="Times New Roman;Times;Serif" w:hAnsi="Times New Roman;Times;Serif"/>
          <w:b w:val="false"/>
          <w:i w:val="false"/>
          <w:caps w:val="false"/>
          <w:smallCaps w:val="false"/>
          <w:sz w:val="20"/>
        </w:rPr>
        <w:t>three years.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14" w:name="xdx_865_zMuY0tiNMvXl"/>
      <w:bookmarkStart w:id="215" w:name="xdx_847_eus-gaap--ImpairmentOrDisposalOf"/>
      <w:bookmarkEnd w:id="214"/>
      <w:bookmarkEnd w:id="215"/>
      <w:r>
        <w:rPr>
          <w:rFonts w:ascii="Times New Roman;Times;Serif" w:hAnsi="Times New Roman;Times;Serif"/>
          <w:b/>
          <w:i w:val="false"/>
          <w:caps w:val="false"/>
          <w:smallCaps w:val="false"/>
          <w:sz w:val="20"/>
        </w:rPr>
        <w:t>Impairment of Long-lived Assets</w:t>
      </w:r>
      <w:r>
        <w:rPr>
          <w:rFonts w:ascii="Times New Roman;Times;Serif" w:hAnsi="Times New Roman;Times;Serif"/>
          <w:b w:val="false"/>
          <w:i w:val="false"/>
          <w:caps w:val="false"/>
          <w:smallCaps w:val="false"/>
          <w:sz w:val="20"/>
        </w:rPr>
        <w:t xml:space="preserve">- In accordance with ASC 360-10-35-17, if the carrying amount of an asset or asset group (in use or under development) is evaluated and found not to be fully recoverable (the carrying amount exceeds the estimated gross, undiscounted cash flows from use and disposition), then an impairment loss must be recognized. The impairment loss is measured as the excess of the carrying amount over the asset’s (or asset group’s) fair value. The Company did </w:t>
      </w:r>
      <w:bookmarkStart w:id="216" w:name="xdx_900_eus-gaap--ImpairmentOfLongLivedA"/>
      <w:bookmarkEnd w:id="216"/>
      <w:r>
        <w:rPr>
          <w:rFonts w:ascii="Times New Roman;Times;Serif" w:hAnsi="Times New Roman;Times;Serif"/>
          <w:b w:val="false"/>
          <w:i w:val="false"/>
          <w:caps w:val="false"/>
          <w:smallCaps w:val="false"/>
          <w:sz w:val="20"/>
        </w:rPr>
        <w:t>not record any impairment charges for the three months ended March 31, 2026 and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17" w:name="xdx_862_z6ywwDKz9Zpl"/>
      <w:bookmarkStart w:id="218" w:name="xdx_84B_eus-gaap--LesseeLeasesPolicyText"/>
      <w:bookmarkEnd w:id="217"/>
      <w:bookmarkEnd w:id="218"/>
      <w:r>
        <w:rPr>
          <w:rFonts w:ascii="Times New Roman;Times;Serif" w:hAnsi="Times New Roman;Times;Serif"/>
          <w:b/>
          <w:i w:val="false"/>
          <w:caps w:val="false"/>
          <w:smallCaps w:val="false"/>
          <w:sz w:val="20"/>
        </w:rPr>
        <w:t xml:space="preserve">Leases - </w:t>
      </w:r>
      <w:r>
        <w:rPr>
          <w:rFonts w:ascii="Times New Roman;Times;Serif" w:hAnsi="Times New Roman;Times;Serif"/>
          <w:b w:val="false"/>
          <w:i w:val="false"/>
          <w:caps w:val="false"/>
          <w:smallCaps w:val="false"/>
          <w:sz w:val="20"/>
        </w:rPr>
        <w:t>Leases are classified at lease commencement date as either a finance lease or an operating lease. A lease is a finance lease if it meets any of the following criteria: (a) the lease transfers ownership of the underlying asset to the lessee by the end of the lease term, (b) the lease grants the lessee an option to purchase the underlying asset that the lessee is reasonably certain to exercise, (c) the lease term is for the major part of the remaining economic life of the underlying asset, (d) the present value of the sum of the lease payments and any residual value guaranteed by the lessee that is not already reflected in the lease payments equals or exceeds substantially all of the fair value of the underlying asset or (e) the underlying asset is of such a specialized nature that it is expected to have no alternative use to the lessor at the end of the lease term. When none of the foregoing criteria is met, the lease shall be classified as an operating lease.</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utilizes operating leases for its office space requirements. This means that the Company leases office space, categorizing the lease arrangement as an operating lease. Under this arrangement, the Company does not hold ownership of the leased assets but instead pays rent for the right to use them.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lessee, a lease is recognized as an operating lease right-of-use asset with a corresponding liability at lease commencement date. The lease liability is calculated at the present value of the lease payments not yet paid by using the lease term and discount rate determined at lease commencement. The operating lease right-of-use asset is calculated as the lease liability, increased by any initial direct costs, and prepaid lease payments, reduced by any lease incentives received before lease commencement. The operating lease right-of-use asset itself is amortized on a straight-line basis unless another systematic method better reflects how the underlying asset will be used by and benefits the lessee over the lease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19" w:name="xdx_86D_zAufIA8BX7H2"/>
      <w:bookmarkStart w:id="220" w:name="xdx_84F_eus-gaap--FairValueMeasurementPo"/>
      <w:bookmarkEnd w:id="219"/>
      <w:bookmarkEnd w:id="220"/>
      <w:r>
        <w:rPr>
          <w:rFonts w:ascii="Times New Roman;Times;Serif" w:hAnsi="Times New Roman;Times;Serif"/>
          <w:b/>
          <w:i w:val="false"/>
          <w:caps w:val="false"/>
          <w:smallCaps w:val="false"/>
          <w:sz w:val="20"/>
        </w:rPr>
        <w:t xml:space="preserve">Fair Value Measurement </w:t>
      </w:r>
      <w:r>
        <w:rPr>
          <w:rFonts w:ascii="Times New Roman;Times;Serif" w:hAnsi="Times New Roman;Times;Serif"/>
          <w:b w:val="false"/>
          <w:i w:val="false"/>
          <w:caps w:val="false"/>
          <w:smallCaps w:val="false"/>
          <w:sz w:val="20"/>
        </w:rPr>
        <w:t>-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carrying amounts reported in the consolidated balance sheets for cash and cash equivalents, accounts receivable, accounts payable, due to related parties and short-term debt at fair value or cost, which approximates fair value because of the short period of time between the origination of such instruments and their expected realization and their current market rates of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Valuations based on quoted prices for identical assets and liabilities in active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Valuations based on unobservable inputs reflecting the Company’s own assumptions, consistent with reasonably available assumptions made by other market participants. These valuations require significant judgment.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21" w:name="xdx_869_zQWYycvetYDc"/>
      <w:bookmarkStart w:id="222" w:name="xdx_849_eus-gaap--RevenueFromContractWit"/>
      <w:bookmarkEnd w:id="221"/>
      <w:bookmarkEnd w:id="222"/>
      <w:r>
        <w:rPr>
          <w:rFonts w:ascii="Times New Roman;Times;Serif" w:hAnsi="Times New Roman;Times;Serif"/>
          <w:b/>
          <w:i w:val="false"/>
          <w:caps w:val="false"/>
          <w:smallCaps w:val="false"/>
          <w:sz w:val="20"/>
        </w:rPr>
        <w:t>Revenue Recognition</w:t>
      </w:r>
      <w:r>
        <w:rPr>
          <w:rFonts w:ascii="Times New Roman;Times;Serif" w:hAnsi="Times New Roman;Times;Serif"/>
          <w:b w:val="false"/>
          <w:i w:val="false"/>
          <w:caps w:val="false"/>
          <w:smallCaps w:val="false"/>
          <w:sz w:val="20"/>
        </w:rPr>
        <w:t xml:space="preserve"> - The Company accounts for revenues in accordance with ASC Topic 606, Revenue from Contracts with Customers. The Company adopted ASC Topic 606 as of January 1, 2019. The standard did not affect the Company’s consolidated financial position, or cash flows. There were no changes to the timing of revenue recognition as a result of the adoption.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revenues in accordance with ASC Topic 606, which provided a five-step model for recognizing revenue from contracts with customers as follows:</w:t>
      </w:r>
    </w:p>
    <w:p>
      <w:pPr>
        <w:pStyle w:val="TextBody"/>
        <w:bidi w:val="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170"/>
        <w:gridCol w:w="42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2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2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performance obligations are satisfied.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revenues because the Company as principal owns and controls all the goods before they are transferred to the customer. The Company can, at any time, direct Amazon, similarly, other third-party logistics providers (“Logistics Providers”), to return the Company’s inventories to any location specified by the Company. It is the Company’s responsibility to make any returns made by customers directly to Logistics Providers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revenues from the sale of consumer products. The Company sells its products directly to consumers through online retail channels. The Company considers customer order confirmations to be a contract with the customer. For each contract, the promise to transfer products is identified as the sole performance obligation. Transaction prices are evaluated for potential refunds or adjustments, determining the net consideration expected. Revenues for the three months ended March 31, 2026 and 2025 were recognized at a point in time. Customer confirmations are executed at the time an order is placed through third-party online channels. For all of the Company’s sales and distribution channels, revenues are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customer can return products within 30 days after the products are delivered and estimated sales returns are calculated based on the expected returns. The rates of sales returns were </w:t>
      </w:r>
      <w:bookmarkStart w:id="223" w:name="xdx_90A_ecustom--SalesReturnRate_pid_dp_"/>
      <w:bookmarkEnd w:id="223"/>
      <w:r>
        <w:rPr>
          <w:rFonts w:ascii="Times New Roman;Times;Serif" w:hAnsi="Times New Roman;Times;Serif"/>
          <w:b w:val="false"/>
          <w:i w:val="false"/>
          <w:caps w:val="false"/>
          <w:smallCaps w:val="false"/>
          <w:sz w:val="20"/>
        </w:rPr>
        <w:t xml:space="preserve">6.73% and </w:t>
      </w:r>
      <w:bookmarkStart w:id="224" w:name="xdx_905_ecustom--SalesReturnRate_pid_dp_"/>
      <w:bookmarkEnd w:id="224"/>
      <w:r>
        <w:rPr>
          <w:rFonts w:ascii="Times New Roman;Times;Serif" w:hAnsi="Times New Roman;Times;Serif"/>
          <w:b w:val="false"/>
          <w:i w:val="false"/>
          <w:caps w:val="false"/>
          <w:smallCaps w:val="false"/>
          <w:sz w:val="20"/>
        </w:rPr>
        <w:t>6.35% of gross sales for the three months ended March 31, 2026 and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offers price discounts on certain selected items to stimulate the sales of those items. Revenues are measured as the amount of consideration for which the Company expects to be entitled in exchange for transferring goods. Consistent with this policy, the Company reduces the amount of these discounts from the gross revenues to calculate the net revenues recorded on the statement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defined as the promise to transfer a distinct good, is the unit of account in ASC Topic 606. The Company treats shipping and handling as fulfillment activities, not separate performance obligations. Costs for shipping and handling were $</w:t>
      </w:r>
      <w:bookmarkStart w:id="225" w:name="xdx_90C_ecustom--ShippingAndHandlingCost"/>
      <w:bookmarkEnd w:id="225"/>
      <w:r>
        <w:rPr>
          <w:rFonts w:ascii="Times New Roman;Times;Serif" w:hAnsi="Times New Roman;Times;Serif"/>
          <w:b w:val="false"/>
          <w:i w:val="false"/>
          <w:caps w:val="false"/>
          <w:smallCaps w:val="false"/>
          <w:sz w:val="20"/>
        </w:rPr>
        <w:t>6,407,406 and $</w:t>
      </w:r>
      <w:bookmarkStart w:id="226" w:name="xdx_903_ecustom--ShippingAndHandlingCost"/>
      <w:bookmarkEnd w:id="226"/>
      <w:r>
        <w:rPr>
          <w:rFonts w:ascii="Times New Roman;Times;Serif" w:hAnsi="Times New Roman;Times;Serif"/>
          <w:b w:val="false"/>
          <w:i w:val="false"/>
          <w:caps w:val="false"/>
          <w:smallCaps w:val="false"/>
          <w:sz w:val="20"/>
        </w:rPr>
        <w:t>5,748,972 for the three months ended March 31, 2026 and 2025, respectively, recorded as selling and marketing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27" w:name="xdx_86F_zylr2TyxX292"/>
      <w:bookmarkStart w:id="228" w:name="xdx_84E_eus-gaap--SegmentReportingPolicy"/>
      <w:bookmarkEnd w:id="227"/>
      <w:bookmarkEnd w:id="228"/>
      <w:r>
        <w:rPr>
          <w:rFonts w:ascii="Times New Roman;Times;Serif" w:hAnsi="Times New Roman;Times;Serif"/>
          <w:b/>
          <w:i w:val="false"/>
          <w:caps w:val="false"/>
          <w:smallCaps w:val="false"/>
          <w:sz w:val="20"/>
        </w:rPr>
        <w:t xml:space="preserve">Segment Information </w:t>
      </w:r>
      <w:r>
        <w:rPr>
          <w:rFonts w:ascii="Times New Roman;Times;Serif" w:hAnsi="Times New Roman;Times;Serif"/>
          <w:b w:val="false"/>
          <w:i w:val="false"/>
          <w:caps w:val="false"/>
          <w:smallCaps w:val="false"/>
          <w:sz w:val="20"/>
        </w:rPr>
        <w:t xml:space="preserve">– The Company has only </w:t>
      </w:r>
      <w:bookmarkStart w:id="229" w:name="xdx_90E_eus-gaap--NumberOfOperatingSegme"/>
      <w:bookmarkEnd w:id="229"/>
      <w:r>
        <w:rPr>
          <w:rFonts w:ascii="Times New Roman;Times;Serif" w:hAnsi="Times New Roman;Times;Serif"/>
          <w:b w:val="false"/>
          <w:i w:val="false"/>
          <w:caps w:val="false"/>
          <w:smallCaps w:val="false"/>
          <w:sz w:val="20"/>
        </w:rPr>
        <w:t>one segment, which is online retail (e-commerce).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“management approach” to determine reportable operating segments. The management approach considers the internal organization and reporting used by the Company’s chief operating decision maker (“CODM”) for making operating decisions and assessing performance as the source for determining the Company’s reportable segments. The Company’s CODM has been identified as the chief executive officer of the Company who reviews financial information of separate operating segments based on U.S. GAAP. The CODM now reviews results analyzed by customers. This analysis is only presented at the revenue level with no allocation of direct or indirect costs. Consequently, the Company has determined that it has only one operating segment.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30" w:name="xdx_84F_eus-gaap--IncomeTaxPolicyTextBlo"/>
      <w:bookmarkEnd w:id="230"/>
      <w:r>
        <w:rPr>
          <w:rFonts w:ascii="Times New Roman;Times;Serif" w:hAnsi="Times New Roman;Times;Serif"/>
          <w:b/>
          <w:i w:val="false"/>
          <w:caps w:val="false"/>
          <w:smallCaps w:val="false"/>
          <w:sz w:val="20"/>
        </w:rPr>
        <w:t>Income Taxes</w:t>
      </w:r>
      <w:r>
        <w:rPr>
          <w:rFonts w:ascii="Times New Roman;Times;Serif" w:hAnsi="Times New Roman;Times;Serif"/>
          <w:b w:val="false"/>
          <w:i w:val="false"/>
          <w:caps w:val="false"/>
          <w:smallCaps w:val="false"/>
          <w:sz w:val="20"/>
        </w:rPr>
        <w:t xml:space="preserve"> - Income tax expense includes U.S. (federal and state) and foreign 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complied with state tax codes and regulations, including with respect to California franchise taxes. Management has evaluated its tax positions and has concluded that the Company had taken no uncertain tax positions that could require adjustment or disclosure in the financial statements to comply with provisions set forth in ASC Section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represent amounts available to reduce income taxes payable in future periods. Deferred tax assets are evaluated for future realization and reduced by a valuation allowance to the extent the Company believe they will not be realized. The Company considers many factors when assessing the likelihood of future realization of its deferred tax assets, including recent cumulative loss experience and expectations of future earnings, capital gains and investment in such jurisdiction, the carry-forward periods available to the Company’s for tax reporting purposes, and other relevant factors.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31" w:name="xdx_866_zBP8sZRRkN9k"/>
      <w:bookmarkStart w:id="232" w:name="xdx_84A_ecustom--SalesTaxesPolicyTextBlo"/>
      <w:bookmarkEnd w:id="231"/>
      <w:bookmarkEnd w:id="232"/>
      <w:r>
        <w:rPr>
          <w:rFonts w:ascii="Times New Roman;Times;Serif" w:hAnsi="Times New Roman;Times;Serif"/>
          <w:b/>
          <w:i w:val="false"/>
          <w:caps w:val="false"/>
          <w:smallCaps w:val="false"/>
          <w:sz w:val="20"/>
        </w:rPr>
        <w:t>Presentation of Sales Taxes</w:t>
      </w:r>
      <w:r>
        <w:rPr>
          <w:rFonts w:ascii="Times New Roman;Times;Serif" w:hAnsi="Times New Roman;Times;Serif"/>
          <w:b w:val="false"/>
          <w:i w:val="false"/>
          <w:caps w:val="false"/>
          <w:smallCaps w:val="false"/>
          <w:sz w:val="20"/>
        </w:rPr>
        <w:t xml:space="preserve"> - Governmental authorities impose sales tax on all of the Company’s sales to nonexempt customers. The Company collects sales tax from customers and remits the entire amount to the governmental authorities. The Company’s accounting policy is to exclude the tax collected and remitted from revenues and cost of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33" w:name="xdx_86D_z1kFs3Z9J762"/>
      <w:bookmarkStart w:id="234" w:name="xdx_846_eus-gaap--ConcentrationRiskCredi"/>
      <w:bookmarkEnd w:id="233"/>
      <w:bookmarkEnd w:id="234"/>
      <w:r>
        <w:rPr>
          <w:rFonts w:ascii="Times New Roman;Times;Serif" w:hAnsi="Times New Roman;Times;Serif"/>
          <w:b/>
          <w:i w:val="false"/>
          <w:caps w:val="false"/>
          <w:smallCaps w:val="false"/>
          <w:sz w:val="20"/>
        </w:rPr>
        <w:t>Concentration of Credit Risks -</w:t>
      </w:r>
      <w:r>
        <w:rPr>
          <w:rFonts w:ascii="Times New Roman;Times;Serif" w:hAnsi="Times New Roman;Times;Serif"/>
          <w:b w:val="false"/>
          <w:i w:val="false"/>
          <w:caps w:val="false"/>
          <w:smallCaps w:val="false"/>
          <w:sz w:val="20"/>
        </w:rPr>
        <w:t xml:space="preserve"> Financial instruments that potentially subject the Company to concentrations of credit risk consist primarily of cash and cash equivalents and accounts receivable. The Company maintains cash and cash equivalents with various domestic and foreign financial institutions of high credit quality. The Company performs periodic evaluations of the relative credit standing of all of the aforementioned institutions.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reserves for potential credit losses on customer accounts when deemed necessary. Significant customers are those which represent more than 10% of the Company’s total net revenues or gross accounts receivable balance at the balance sheet date. </w:t>
      </w:r>
      <w:bookmarkStart w:id="235" w:name="xdx_902_eus-gaap--ConcentrationRiskCusto"/>
      <w:bookmarkEnd w:id="235"/>
      <w:r>
        <w:rPr>
          <w:rFonts w:ascii="Times New Roman;Times;Serif" w:hAnsi="Times New Roman;Times;Serif"/>
          <w:b w:val="false"/>
          <w:i w:val="false"/>
          <w:caps w:val="false"/>
          <w:smallCaps w:val="false"/>
          <w:sz w:val="20"/>
        </w:rPr>
        <w:t>During the three months ended March 31, 2026 and 2025, the Company had no customer that accounted for 10% or more of total net revenues. In addition, as of March 31, 2026 and December 31, 2025, the Company had no customer that accounted for 10% or more of gross accounts receivable. As of March 31, 2026 and December 31, 2025, all of the Company’s accounts receivable were held by the Company’s sales platform agent, Amazon, which collects money on the Company’s behalf from its customers. Therefore, the Company’s accounts receivable are comprised of receivables due from Amazon and the reimbursement from Amazon to the Company usually takes approximately 14 days.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business is reliant on one key vendor which currently provides the Company with its sales platform, logistics and fulfillment operations, including certain warehousing for the Company’s net goods, and invoicing and collection of its revenues from the Company’s end customers. During the three months ended March 31, 2026 and 2025, approximately </w:t>
      </w:r>
      <w:bookmarkStart w:id="236" w:name="xdx_908_eus-gaap--ConcentrationRiskPerce"/>
      <w:bookmarkEnd w:id="236"/>
      <w:r>
        <w:rPr>
          <w:rFonts w:ascii="Times New Roman;Times;Serif" w:hAnsi="Times New Roman;Times;Serif"/>
          <w:b w:val="false"/>
          <w:i w:val="false"/>
          <w:caps w:val="false"/>
          <w:smallCaps w:val="false"/>
          <w:sz w:val="20"/>
        </w:rPr>
        <w:t xml:space="preserve">98% and </w:t>
      </w:r>
      <w:bookmarkStart w:id="237" w:name="xdx_900_eus-gaap--ConcentrationRiskPerce"/>
      <w:bookmarkEnd w:id="237"/>
      <w:r>
        <w:rPr>
          <w:rFonts w:ascii="Times New Roman;Times;Serif" w:hAnsi="Times New Roman;Times;Serif"/>
          <w:b w:val="false"/>
          <w:i w:val="false"/>
          <w:caps w:val="false"/>
          <w:smallCaps w:val="false"/>
          <w:sz w:val="20"/>
        </w:rPr>
        <w:t>99%, respectively, of the Company’s revenues were through or with the Amazon sales platform.</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bookmarkStart w:id="238" w:name="xdx_86F_zRmNMzUutkH1"/>
      <w:bookmarkStart w:id="239" w:name="xdx_841_ecustom--ForeignCurrencyExchange"/>
      <w:bookmarkEnd w:id="238"/>
      <w:bookmarkEnd w:id="239"/>
      <w:r>
        <w:rPr>
          <w:rFonts w:ascii="Times New Roman;Times;Serif" w:hAnsi="Times New Roman;Times;Serif"/>
          <w:b/>
          <w:i w:val="false"/>
          <w:caps w:val="false"/>
          <w:smallCaps w:val="false"/>
          <w:sz w:val="20"/>
        </w:rPr>
        <w:t>Foreign Currency Exchange Risk</w:t>
      </w:r>
      <w:r>
        <w:rPr>
          <w:rFonts w:ascii="Times New Roman;Times;Serif" w:hAnsi="Times New Roman;Times;Serif"/>
          <w:b w:val="false"/>
          <w:i w:val="false"/>
          <w:caps w:val="false"/>
          <w:smallCaps w:val="false"/>
          <w:sz w:val="20"/>
        </w:rPr>
        <w:t xml:space="preserve"> - The Company is exposed to foreign currency exchange risk through its foreign subsidiary in Taiwan. The Company does not hedge foreign currency translation risk in the net assets and income reported from these 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40" w:name="xdx_864_zqnCs6URDSQ1"/>
      <w:bookmarkStart w:id="241" w:name="xdx_845_eus-gaap--AdvertisingCostsPolicy"/>
      <w:bookmarkEnd w:id="240"/>
      <w:bookmarkEnd w:id="241"/>
      <w:r>
        <w:rPr>
          <w:rFonts w:ascii="Times New Roman;Times;Serif" w:hAnsi="Times New Roman;Times;Serif"/>
          <w:b/>
          <w:i w:val="false"/>
          <w:caps w:val="false"/>
          <w:smallCaps w:val="false"/>
          <w:sz w:val="20"/>
        </w:rPr>
        <w:t>Advertising and Promotion Expenses</w:t>
      </w:r>
      <w:r>
        <w:rPr>
          <w:rFonts w:ascii="Times New Roman;Times;Serif" w:hAnsi="Times New Roman;Times;Serif"/>
          <w:b w:val="false"/>
          <w:i w:val="false"/>
          <w:caps w:val="false"/>
          <w:smallCaps w:val="false"/>
          <w:sz w:val="20"/>
        </w:rPr>
        <w:t xml:space="preserve"> – The Company’s policy is to recognize advertising costs as they are incurred. Advertising and promotion expenses were $</w:t>
      </w:r>
      <w:bookmarkStart w:id="242" w:name="xdx_906_eus-gaap--AdvertisingExpense_c20"/>
      <w:bookmarkEnd w:id="242"/>
      <w:r>
        <w:rPr>
          <w:rFonts w:ascii="Times New Roman;Times;Serif" w:hAnsi="Times New Roman;Times;Serif"/>
          <w:b w:val="false"/>
          <w:i w:val="false"/>
          <w:caps w:val="false"/>
          <w:smallCaps w:val="false"/>
          <w:sz w:val="20"/>
        </w:rPr>
        <w:t>1,262,089 and $</w:t>
      </w:r>
      <w:bookmarkStart w:id="243" w:name="xdx_90D_eus-gaap--AdvertisingExpense_c20"/>
      <w:bookmarkEnd w:id="243"/>
      <w:r>
        <w:rPr>
          <w:rFonts w:ascii="Times New Roman;Times;Serif" w:hAnsi="Times New Roman;Times;Serif"/>
          <w:b w:val="false"/>
          <w:i w:val="false"/>
          <w:caps w:val="false"/>
          <w:smallCaps w:val="false"/>
          <w:sz w:val="20"/>
        </w:rPr>
        <w:t>1,004,083 for the three months ended March 31, 2026 and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44" w:name="xdx_864_zP7hGoTfu72l"/>
      <w:bookmarkStart w:id="245" w:name="xdx_846_eus-gaap--CommitmentsAndContinge"/>
      <w:bookmarkEnd w:id="244"/>
      <w:bookmarkEnd w:id="245"/>
      <w:r>
        <w:rPr>
          <w:rFonts w:ascii="Times New Roman;Times;Serif" w:hAnsi="Times New Roman;Times;Serif"/>
          <w:b/>
          <w:i w:val="false"/>
          <w:caps w:val="false"/>
          <w:smallCaps w:val="false"/>
          <w:sz w:val="20"/>
        </w:rPr>
        <w:t>Commitments and Contingencies</w:t>
      </w:r>
      <w:r>
        <w:rPr>
          <w:rFonts w:ascii="Times New Roman;Times;Serif" w:hAnsi="Times New Roman;Times;Serif"/>
          <w:b w:val="false"/>
          <w:i w:val="false"/>
          <w:caps w:val="false"/>
          <w:smallCaps w:val="false"/>
          <w:sz w:val="20"/>
        </w:rPr>
        <w:t xml:space="preserve"> - 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46" w:name="xdx_860_zUaQOJa8MDAe"/>
      <w:bookmarkStart w:id="247" w:name="xdx_840_ecustom--RelatedPartiesPolicyTex"/>
      <w:bookmarkEnd w:id="246"/>
      <w:bookmarkEnd w:id="247"/>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xml:space="preserve"> - The Company accounts for related party transactions in accordance with FASB ASC Topic 850 (Related Party Disclosures). 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48" w:name="xdx_86B_zWggQDlKpvf5"/>
      <w:bookmarkStart w:id="249" w:name="xdx_846_eus-gaap--EarningsPerSharePolicy"/>
      <w:bookmarkEnd w:id="248"/>
      <w:bookmarkEnd w:id="249"/>
      <w:r>
        <w:rPr>
          <w:rFonts w:ascii="Times New Roman;Times;Serif" w:hAnsi="Times New Roman;Times;Serif"/>
          <w:b/>
          <w:i w:val="false"/>
          <w:caps w:val="false"/>
          <w:smallCaps w:val="false"/>
          <w:sz w:val="20"/>
        </w:rPr>
        <w:t xml:space="preserve">Earnings per Share - </w:t>
      </w:r>
      <w:r>
        <w:rPr>
          <w:rFonts w:ascii="Times New Roman;Times;Serif" w:hAnsi="Times New Roman;Times;Serif"/>
          <w:b w:val="false"/>
          <w:i w:val="false"/>
          <w:caps w:val="false"/>
          <w:smallCaps w:val="false"/>
          <w:sz w:val="20"/>
        </w:rPr>
        <w:t>The Company computes basic earnings per common share using the weighted-average number of shares of common stock outstanding during the period. For the period in which the Company reports net losses, diluted net loss per share attributable to stockholders is the same as basic net loss per share attributable to stockholders, because potentially dilutive common shares are not assumed to have been issued if their effect is anti-dilutive. There were no dilutive securities or other items that would affect earnings per share for the three months ended March 31, 2026 and 2025. Therefore, the diluted earnings per share is the same as the basic earnings per share.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250" w:name="xdx_84E_eus-gaap--CompensationRelatedCos"/>
      <w:bookmarkEnd w:id="250"/>
      <w:r>
        <w:rPr>
          <w:caps w:val="false"/>
          <w:smallCaps w:val="false"/>
        </w:rPr>
        <w:t> </w:t>
      </w:r>
      <w:bookmarkStart w:id="251" w:name="xdx_868_zgYWUYlsVjIb"/>
      <w:bookmarkEnd w:id="251"/>
      <w:r>
        <w:rPr>
          <w:rFonts w:ascii="Times New Roman;Times;Serif" w:hAnsi="Times New Roman;Times;Serif"/>
          <w:b/>
          <w:i w:val="false"/>
          <w:caps w:val="false"/>
          <w:smallCaps w:val="false"/>
          <w:sz w:val="20"/>
        </w:rPr>
        <w:t>Shares Issued for Services</w:t>
      </w:r>
      <w:r>
        <w:rPr>
          <w:rFonts w:ascii="Times New Roman;Times;Serif" w:hAnsi="Times New Roman;Times;Serif"/>
          <w:b w:val="false"/>
          <w:i w:val="false"/>
          <w:caps w:val="false"/>
          <w:smallCaps w:val="false"/>
          <w:sz w:val="20"/>
        </w:rPr>
        <w:t xml:space="preserve"> – Stock-based compensation cost for all equity-classified stock awards expected to vest is measured at fair value on the date of grant and recognized over the service period.</w:t>
      </w:r>
    </w:p>
    <w:p>
      <w:pPr>
        <w:pStyle w:val="TextBody"/>
        <w:bidi w:val="0"/>
        <w:jc w:val="center"/>
        <w:rPr>
          <w:caps w:val="false"/>
          <w:smallCaps w:val="false"/>
        </w:rPr>
      </w:pPr>
      <w:bookmarkStart w:id="252" w:name="xdx_850_zX7WUNvJBJW8"/>
      <w:bookmarkEnd w:id="252"/>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53" w:name="xdx_807_eus-gaap--NewAccountingPronounce"/>
      <w:bookmarkEnd w:id="253"/>
      <w:r>
        <w:rPr>
          <w:rFonts w:ascii="Times New Roman;Times;Serif" w:hAnsi="Times New Roman;Times;Serif"/>
          <w:b/>
          <w:i w:val="false"/>
          <w:caps w:val="false"/>
          <w:smallCaps w:val="false"/>
          <w:sz w:val="20"/>
        </w:rPr>
        <w:t xml:space="preserve">NOTE 2 - </w:t>
      </w:r>
      <w:bookmarkStart w:id="254" w:name="xdx_829_zg3dq8OGIuTi"/>
      <w:bookmarkEnd w:id="254"/>
      <w:r>
        <w:rPr>
          <w:rFonts w:ascii="Times New Roman;Times;Serif" w:hAnsi="Times New Roman;Times;Serif"/>
          <w:b/>
          <w:i w:val="false"/>
          <w:caps w:val="false"/>
          <w:smallCaps w:val="false"/>
          <w:sz w:val="20"/>
        </w:rPr>
        <w:t>Recently Issued and Adopted Accounting Pronouncements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which requires the disaggregation of certain expenses in the notes of the financials, to provide enhanced transparency into the expense captions presented on the face of the income statement. ASU 2024-03 is effective for annual reporting periods beginning after December 15, 2026 and interim periods beginning after December 15, 2027 and may be applied either prospectively or retrospectively. There is no material impact expected to the Company’s results of operations, cash flows and financial condition at the time of adoption, however the Company is still assessing the disclosure impact.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above-mentioned pronouncements, there are no recently issued accounting standards that will have a material impact on the consolidated financial position, statements of operations and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55" w:name="xdx_800_eus-gaap--InventoryDisclosureTex"/>
      <w:bookmarkEnd w:id="255"/>
      <w:r>
        <w:rPr>
          <w:rFonts w:ascii="Times New Roman;Times;Serif" w:hAnsi="Times New Roman;Times;Serif"/>
          <w:b/>
          <w:i w:val="false"/>
          <w:caps w:val="false"/>
          <w:smallCaps w:val="false"/>
          <w:sz w:val="20"/>
        </w:rPr>
        <w:t xml:space="preserve">NOTE 3 - </w:t>
      </w:r>
      <w:bookmarkStart w:id="256" w:name="xdx_829_zL8xpkerRIWe"/>
      <w:bookmarkEnd w:id="256"/>
      <w:r>
        <w:rPr>
          <w:rFonts w:ascii="Times New Roman;Times;Serif" w:hAnsi="Times New Roman;Times;Serif"/>
          <w:b/>
          <w:i w:val="false"/>
          <w:caps w:val="false"/>
          <w:smallCaps w:val="false"/>
          <w:sz w:val="20"/>
        </w:rPr>
        <w:t>Inventory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57" w:name="xdx_893_eus-gaap--ScheduleOfInventoryCur"/>
      <w:bookmarkEnd w:id="257"/>
      <w:r>
        <w:rPr>
          <w:rFonts w:ascii="Times New Roman;Times;Serif" w:hAnsi="Times New Roman;Times;Serif"/>
          <w:b w:val="false"/>
          <w:i w:val="false"/>
          <w:caps w:val="false"/>
          <w:smallCaps w:val="false"/>
          <w:sz w:val="20"/>
        </w:rPr>
        <w:t>Inventory was comprised of the following as of March 31, 2026 and December 31, 2025, respectively:</w:t>
      </w:r>
    </w:p>
    <w:p>
      <w:pPr>
        <w:pStyle w:val="TextBody"/>
        <w:bidi w:val="0"/>
        <w:jc w:val="both"/>
        <w:rPr>
          <w:caps w:val="false"/>
          <w:smallCaps w:val="false"/>
        </w:rPr>
      </w:pPr>
      <w:r>
        <w:rPr>
          <w:caps w:val="false"/>
          <w:smallCaps w:val="false"/>
        </w:rPr>
        <w:t> </w:t>
      </w:r>
      <w:bookmarkStart w:id="258" w:name="xdx_8BE_zibiu5hWrJM2"/>
      <w:bookmarkEnd w:id="258"/>
      <w:r>
        <w:rPr>
          <w:rFonts w:ascii="Times New Roman;Times;Serif" w:hAnsi="Times New Roman;Times;Serif"/>
          <w:b w:val="false"/>
          <w:i w:val="false"/>
          <w:caps w:val="false"/>
          <w:smallCaps w:val="false"/>
          <w:sz w:val="20"/>
        </w:rPr>
        <w:t>Schedule of Inventory </w:t>
      </w:r>
    </w:p>
    <w:tbl>
      <w:tblPr>
        <w:tblW w:w="5678" w:type="dxa"/>
        <w:jc w:val="left"/>
        <w:tblInd w:w="0" w:type="dxa"/>
        <w:tblLayout w:type="fixed"/>
        <w:tblCellMar>
          <w:top w:w="0" w:type="dxa"/>
          <w:left w:w="0" w:type="dxa"/>
          <w:bottom w:w="0" w:type="dxa"/>
          <w:right w:w="0" w:type="dxa"/>
        </w:tblCellMar>
      </w:tblPr>
      <w:tblGrid>
        <w:gridCol w:w="1850"/>
        <w:gridCol w:w="60"/>
        <w:gridCol w:w="181"/>
        <w:gridCol w:w="1428"/>
        <w:gridCol w:w="95"/>
        <w:gridCol w:w="60"/>
        <w:gridCol w:w="213"/>
        <w:gridCol w:w="1681"/>
        <w:gridCol w:w="110"/>
      </w:tblGrid>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59" w:name="xdx_49C_20260331_zobjdjpRHLGe"/>
            <w:bookmarkEnd w:id="259"/>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0" w:name="xdx_49F_20251231_zbfdgTdiNoPg"/>
            <w:bookmarkEnd w:id="260"/>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11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261" w:name="xdx_403_eus-gaap--InventoryFinishedGoods"/>
            <w:bookmarkEnd w:id="261"/>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2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16,900,034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16,061,329</w:t>
            </w:r>
          </w:p>
        </w:tc>
        <w:tc>
          <w:tcPr>
            <w:tcW w:w="110" w:type="dxa"/>
            <w:tcBorders/>
            <w:shd w:fill="CCEEFF" w:val="clear"/>
            <w:vAlign w:val="center"/>
          </w:tcPr>
          <w:p>
            <w:pPr>
              <w:pStyle w:val="TableContents"/>
              <w:bidi w:val="0"/>
              <w:spacing w:before="0" w:after="283"/>
              <w:jc w:val="left"/>
              <w:rPr/>
            </w:pPr>
            <w:r>
              <w:rPr/>
              <w:t> </w:t>
            </w:r>
            <w:bookmarkStart w:id="262" w:name="xdx_405_eus-gaap--OtherInventoryInTransi"/>
            <w:bookmarkEnd w:id="262"/>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Inventory-in-transit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4,597,185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2,685,447</w:t>
            </w:r>
          </w:p>
        </w:tc>
        <w:tc>
          <w:tcPr>
            <w:tcW w:w="110" w:type="dxa"/>
            <w:tcBorders/>
            <w:shd w:fill="FFFFFF" w:val="clear"/>
            <w:vAlign w:val="center"/>
          </w:tcPr>
          <w:p>
            <w:pPr>
              <w:pStyle w:val="TableContents"/>
              <w:bidi w:val="0"/>
              <w:spacing w:before="0" w:after="283"/>
              <w:jc w:val="left"/>
              <w:rPr/>
            </w:pPr>
            <w:r>
              <w:rPr/>
              <w:t> </w:t>
            </w:r>
            <w:bookmarkStart w:id="263" w:name="xdx_406_eus-gaap--InventoryValuationRese"/>
            <w:bookmarkEnd w:id="263"/>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(409,455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(447,841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4" w:name="xdx_40E_eus-gaap--InventoryNet_iTI_pp0p0"/>
            <w:bookmarkEnd w:id="264"/>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21,087,764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18,298,935</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265" w:name="xdx_8A2_zKWCqYOdLWxc"/>
      <w:bookmarkEnd w:id="26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w:t>
      </w:r>
      <w:bookmarkStart w:id="266" w:name="xdx_909_eus-gaap--InventoryWriteDown_c20"/>
      <w:bookmarkEnd w:id="266"/>
      <w:r>
        <w:rPr>
          <w:rFonts w:ascii="Times New Roman;Times;Serif" w:hAnsi="Times New Roman;Times;Serif"/>
          <w:b w:val="false"/>
          <w:i w:val="false"/>
          <w:caps w:val="false"/>
          <w:smallCaps w:val="false"/>
          <w:sz w:val="20"/>
        </w:rPr>
        <w:t>409,455 and $</w:t>
      </w:r>
      <w:bookmarkStart w:id="267" w:name="xdx_909_eus-gaap--InventoryWriteDown_c20"/>
      <w:bookmarkEnd w:id="267"/>
      <w:r>
        <w:rPr>
          <w:rFonts w:ascii="Times New Roman;Times;Serif" w:hAnsi="Times New Roman;Times;Serif"/>
          <w:b w:val="false"/>
          <w:i w:val="false"/>
          <w:caps w:val="false"/>
          <w:smallCaps w:val="false"/>
          <w:sz w:val="20"/>
        </w:rPr>
        <w:t>447,841 were written down from the cost of purchased inventory to their net realizable values, respectively. Full inventory allowance is recorded for the inventory SKU not sold for more than one year.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of inventory is recorded under cost of goods sold in the statements of operations.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68" w:name="xdx_801_eus-gaap--OtherCurrentAssetsText"/>
      <w:bookmarkEnd w:id="268"/>
      <w:r>
        <w:rPr>
          <w:rFonts w:ascii="Times New Roman;Times;Serif" w:hAnsi="Times New Roman;Times;Serif"/>
          <w:b/>
          <w:i w:val="false"/>
          <w:caps w:val="false"/>
          <w:smallCaps w:val="false"/>
          <w:sz w:val="20"/>
        </w:rPr>
        <w:t xml:space="preserve">NOTE 4 - </w:t>
      </w:r>
      <w:bookmarkStart w:id="269" w:name="xdx_826_zDq1v5eiaQ5i"/>
      <w:bookmarkEnd w:id="269"/>
      <w:r>
        <w:rPr>
          <w:rFonts w:ascii="Times New Roman;Times;Serif" w:hAnsi="Times New Roman;Times;Serif"/>
          <w:b/>
          <w:i w:val="false"/>
          <w:caps w:val="false"/>
          <w:smallCaps w:val="false"/>
          <w:sz w:val="20"/>
        </w:rPr>
        <w:t>Prepaid Expenses and Other Current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70" w:name="xdx_89B_eus-gaap--DeferredCostsCapitaliz"/>
      <w:bookmarkEnd w:id="270"/>
      <w:r>
        <w:rPr>
          <w:rFonts w:ascii="Times New Roman;Times;Serif" w:hAnsi="Times New Roman;Times;Serif"/>
          <w:b w:val="false"/>
          <w:i w:val="false"/>
          <w:caps w:val="false"/>
          <w:smallCaps w:val="false"/>
          <w:sz w:val="20"/>
        </w:rPr>
        <w:t>Prepaid expenses and other current assets were comprised of the following as of March 31, 2026 and December 31, 2025, respectively:</w:t>
      </w:r>
    </w:p>
    <w:p>
      <w:pPr>
        <w:pStyle w:val="TextBody"/>
        <w:bidi w:val="0"/>
        <w:jc w:val="both"/>
        <w:rPr>
          <w:caps w:val="false"/>
          <w:smallCaps w:val="false"/>
        </w:rPr>
      </w:pPr>
      <w:r>
        <w:rPr>
          <w:caps w:val="false"/>
          <w:smallCaps w:val="false"/>
        </w:rPr>
        <w:t> </w:t>
      </w:r>
      <w:bookmarkStart w:id="271" w:name="xdx_8B9_zlU4wgo4ZWx8"/>
      <w:bookmarkEnd w:id="271"/>
      <w:r>
        <w:rPr>
          <w:rFonts w:ascii="Times New Roman;Times;Serif" w:hAnsi="Times New Roman;Times;Serif"/>
          <w:b w:val="false"/>
          <w:i w:val="false"/>
          <w:caps w:val="false"/>
          <w:smallCaps w:val="false"/>
          <w:sz w:val="20"/>
        </w:rPr>
        <w:t>Schedule of Prepaid Expenses and Other Current Assets</w:t>
      </w:r>
    </w:p>
    <w:tbl>
      <w:tblPr>
        <w:tblW w:w="6403" w:type="dxa"/>
        <w:jc w:val="left"/>
        <w:tblInd w:w="0" w:type="dxa"/>
        <w:tblLayout w:type="fixed"/>
        <w:tblCellMar>
          <w:top w:w="0" w:type="dxa"/>
          <w:left w:w="0" w:type="dxa"/>
          <w:bottom w:w="0" w:type="dxa"/>
          <w:right w:w="0" w:type="dxa"/>
        </w:tblCellMar>
      </w:tblPr>
      <w:tblGrid>
        <w:gridCol w:w="2645"/>
        <w:gridCol w:w="60"/>
        <w:gridCol w:w="239"/>
        <w:gridCol w:w="1370"/>
        <w:gridCol w:w="60"/>
        <w:gridCol w:w="60"/>
        <w:gridCol w:w="281"/>
        <w:gridCol w:w="1613"/>
        <w:gridCol w:w="75"/>
      </w:tblGrid>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72" w:name="xdx_493_20260331_zgS7CqhydwRh"/>
            <w:bookmarkEnd w:id="272"/>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3" w:name="xdx_49E_20251231_zhKiijhJzQF9"/>
            <w:bookmarkEnd w:id="273"/>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274" w:name="xdx_409_eus-gaap--Supplies_iI_maPEAOAzgI"/>
            <w:bookmarkEnd w:id="274"/>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 to suppliers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400,853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193,115</w:t>
            </w:r>
          </w:p>
        </w:tc>
        <w:tc>
          <w:tcPr>
            <w:tcW w:w="75" w:type="dxa"/>
            <w:tcBorders/>
            <w:shd w:fill="CCEEFF" w:val="clear"/>
            <w:vAlign w:val="center"/>
          </w:tcPr>
          <w:p>
            <w:pPr>
              <w:pStyle w:val="TableContents"/>
              <w:bidi w:val="0"/>
              <w:spacing w:before="0" w:after="283"/>
              <w:jc w:val="left"/>
              <w:rPr/>
            </w:pPr>
            <w:r>
              <w:rPr/>
              <w:t> </w:t>
            </w:r>
            <w:bookmarkStart w:id="275" w:name="xdx_404_eus-gaap--PrepaidInsurance_iI_ma"/>
            <w:bookmarkEnd w:id="275"/>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expenses-insurance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75" w:type="dxa"/>
            <w:tcBorders/>
            <w:shd w:fill="FFFFFF" w:val="clear"/>
            <w:vAlign w:val="center"/>
          </w:tcPr>
          <w:p>
            <w:pPr>
              <w:pStyle w:val="TableContents"/>
              <w:bidi w:val="0"/>
              <w:spacing w:before="0" w:after="283"/>
              <w:jc w:val="left"/>
              <w:rPr/>
            </w:pPr>
            <w:r>
              <w:rPr/>
              <w:t> </w:t>
            </w:r>
            <w:bookmarkStart w:id="276" w:name="xdx_408_eus-gaap--OtherPrepaidExpenseCur"/>
            <w:bookmarkEnd w:id="276"/>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expenses-other</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124,005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79,880</w:t>
            </w:r>
          </w:p>
        </w:tc>
        <w:tc>
          <w:tcPr>
            <w:tcW w:w="75" w:type="dxa"/>
            <w:tcBorders/>
            <w:shd w:fill="CCEEFF" w:val="clear"/>
            <w:vAlign w:val="center"/>
          </w:tcPr>
          <w:p>
            <w:pPr>
              <w:pStyle w:val="TableContents"/>
              <w:bidi w:val="0"/>
              <w:spacing w:before="0" w:after="283"/>
              <w:jc w:val="left"/>
              <w:rPr/>
            </w:pPr>
            <w:r>
              <w:rPr/>
              <w:t> </w:t>
            </w:r>
            <w:bookmarkStart w:id="277" w:name="xdx_40D_ecustom--LeaseRefundableDepositC"/>
            <w:bookmarkEnd w:id="277"/>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refundable deposit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59,780</w:t>
            </w:r>
          </w:p>
        </w:tc>
        <w:tc>
          <w:tcPr>
            <w:tcW w:w="75" w:type="dxa"/>
            <w:tcBorders/>
            <w:shd w:fill="FFFFFF" w:val="clear"/>
            <w:vAlign w:val="center"/>
          </w:tcPr>
          <w:p>
            <w:pPr>
              <w:pStyle w:val="TableContents"/>
              <w:bidi w:val="0"/>
              <w:spacing w:before="0" w:after="283"/>
              <w:jc w:val="left"/>
              <w:rPr/>
            </w:pPr>
            <w:r>
              <w:rPr/>
              <w:t> </w:t>
            </w:r>
            <w:bookmarkStart w:id="278" w:name="xdx_408_eus-gaap--PrepaidTaxes_iI_maPEAO"/>
            <w:bookmarkEnd w:id="278"/>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receivable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181,970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223,030</w:t>
            </w:r>
          </w:p>
        </w:tc>
        <w:tc>
          <w:tcPr>
            <w:tcW w:w="75" w:type="dxa"/>
            <w:tcBorders/>
            <w:shd w:fill="CCEEFF" w:val="clear"/>
            <w:vAlign w:val="center"/>
          </w:tcPr>
          <w:p>
            <w:pPr>
              <w:pStyle w:val="TableContents"/>
              <w:bidi w:val="0"/>
              <w:spacing w:before="0" w:after="283"/>
              <w:jc w:val="left"/>
              <w:rPr/>
            </w:pPr>
            <w:r>
              <w:rPr/>
              <w:t> </w:t>
            </w:r>
            <w:bookmarkStart w:id="279" w:name="xdx_406_eus-gaap--OtherAssetsCurrent_iI_"/>
            <w:bookmarkEnd w:id="279"/>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18,094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18,456</w:t>
            </w:r>
          </w:p>
        </w:tc>
        <w:tc>
          <w:tcPr>
            <w:tcW w:w="75" w:type="dxa"/>
            <w:tcBorders/>
            <w:shd w:fill="FFFFFF" w:val="clear"/>
            <w:vAlign w:val="center"/>
          </w:tcPr>
          <w:p>
            <w:pPr>
              <w:pStyle w:val="TableContents"/>
              <w:bidi w:val="0"/>
              <w:spacing w:before="0" w:after="283"/>
              <w:jc w:val="left"/>
              <w:rPr/>
            </w:pPr>
            <w:r>
              <w:rPr/>
              <w:t> </w:t>
            </w:r>
            <w:bookmarkStart w:id="280" w:name="xdx_402_eus-gaap--PrepaidExpenseAndOther"/>
            <w:bookmarkEnd w:id="280"/>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815,044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619,261</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281" w:name="xdx_8A3_zSBFbjAkwMs3"/>
      <w:bookmarkEnd w:id="28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there was a tax receivable of $</w:t>
      </w:r>
      <w:bookmarkStart w:id="282" w:name="xdx_906_eus-gaap--IncomeTaxesReceivable_"/>
      <w:bookmarkEnd w:id="282"/>
      <w:r>
        <w:rPr>
          <w:rFonts w:ascii="Times New Roman;Times;Serif" w:hAnsi="Times New Roman;Times;Serif"/>
          <w:b w:val="false"/>
          <w:i w:val="false"/>
          <w:caps w:val="false"/>
          <w:smallCaps w:val="false"/>
          <w:sz w:val="20"/>
        </w:rPr>
        <w:t>181,970 and $</w:t>
      </w:r>
      <w:bookmarkStart w:id="283" w:name="xdx_900_eus-gaap--IncomeTaxesReceivable_"/>
      <w:bookmarkEnd w:id="283"/>
      <w:r>
        <w:rPr>
          <w:rFonts w:ascii="Times New Roman;Times;Serif" w:hAnsi="Times New Roman;Times;Serif"/>
          <w:b w:val="false"/>
          <w:i w:val="false"/>
          <w:caps w:val="false"/>
          <w:smallCaps w:val="false"/>
          <w:sz w:val="20"/>
        </w:rPr>
        <w:t>223,030, respectively, due to income taxes prepaid by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84" w:name="xdx_80C_eus-gaap--PropertyPlantAndEquipm"/>
      <w:bookmarkEnd w:id="284"/>
      <w:r>
        <w:rPr>
          <w:rFonts w:ascii="Times New Roman;Times;Serif" w:hAnsi="Times New Roman;Times;Serif"/>
          <w:b/>
          <w:i w:val="false"/>
          <w:caps w:val="false"/>
          <w:smallCaps w:val="false"/>
          <w:sz w:val="20"/>
        </w:rPr>
        <w:t xml:space="preserve">NOTE 5 - </w:t>
      </w:r>
      <w:bookmarkStart w:id="285" w:name="xdx_82E_zzyywSoFzyCa"/>
      <w:bookmarkEnd w:id="285"/>
      <w:r>
        <w:rPr>
          <w:rFonts w:ascii="Times New Roman;Times;Serif" w:hAnsi="Times New Roman;Times;Serif"/>
          <w:b/>
          <w:i w:val="false"/>
          <w:caps w:val="false"/>
          <w:smallCaps w:val="false"/>
          <w:sz w:val="20"/>
        </w:rPr>
        <w:t>Property and Equipment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86" w:name="xdx_897_eus-gaap--PropertyPlantAndEquipm"/>
      <w:bookmarkEnd w:id="286"/>
      <w:r>
        <w:rPr>
          <w:rFonts w:ascii="Times New Roman;Times;Serif" w:hAnsi="Times New Roman;Times;Serif"/>
          <w:b w:val="false"/>
          <w:i w:val="false"/>
          <w:caps w:val="false"/>
          <w:smallCaps w:val="false"/>
          <w:sz w:val="20"/>
        </w:rPr>
        <w:t>Property and equipment were comprised of the following as of March 31, 2026 and December 31, 2025, respectively:</w:t>
      </w:r>
    </w:p>
    <w:p>
      <w:pPr>
        <w:pStyle w:val="TextBody"/>
        <w:bidi w:val="0"/>
        <w:jc w:val="both"/>
        <w:rPr>
          <w:caps w:val="false"/>
          <w:smallCaps w:val="false"/>
        </w:rPr>
      </w:pPr>
      <w:r>
        <w:rPr>
          <w:caps w:val="false"/>
          <w:smallCaps w:val="false"/>
        </w:rPr>
        <w:t> </w:t>
      </w:r>
      <w:bookmarkStart w:id="287" w:name="xdx_8BF_zPNhjZFgFdVb"/>
      <w:bookmarkEnd w:id="287"/>
      <w:r>
        <w:rPr>
          <w:rFonts w:ascii="Times New Roman;Times;Serif" w:hAnsi="Times New Roman;Times;Serif"/>
          <w:b w:val="false"/>
          <w:i w:val="false"/>
          <w:caps w:val="false"/>
          <w:smallCaps w:val="false"/>
          <w:sz w:val="20"/>
        </w:rPr>
        <w:t>Schedule of Property and Equipment</w:t>
      </w:r>
    </w:p>
    <w:tbl>
      <w:tblPr>
        <w:tblW w:w="7973" w:type="dxa"/>
        <w:jc w:val="left"/>
        <w:tblInd w:w="0" w:type="dxa"/>
        <w:tblLayout w:type="fixed"/>
        <w:tblCellMar>
          <w:top w:w="0" w:type="dxa"/>
          <w:left w:w="0" w:type="dxa"/>
          <w:bottom w:w="0" w:type="dxa"/>
          <w:right w:w="0" w:type="dxa"/>
        </w:tblCellMar>
      </w:tblPr>
      <w:tblGrid>
        <w:gridCol w:w="4145"/>
        <w:gridCol w:w="60"/>
        <w:gridCol w:w="222"/>
        <w:gridCol w:w="1387"/>
        <w:gridCol w:w="95"/>
        <w:gridCol w:w="60"/>
        <w:gridCol w:w="261"/>
        <w:gridCol w:w="1633"/>
        <w:gridCol w:w="110"/>
      </w:tblGrid>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88" w:name="xdx_495_20260331_z5yqDVucjAqg"/>
            <w:bookmarkEnd w:id="288"/>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9" w:name="xdx_49E_20251231_zqOh7PWSe6ja"/>
            <w:bookmarkEnd w:id="289"/>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290" w:name="xdx_408_eus-gaap--PropertyPlantAndEquipm"/>
            <w:bookmarkEnd w:id="290"/>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457,971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3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460,477</w:t>
            </w:r>
          </w:p>
        </w:tc>
        <w:tc>
          <w:tcPr>
            <w:tcW w:w="110" w:type="dxa"/>
            <w:tcBorders/>
            <w:shd w:fill="CCEEFF" w:val="clear"/>
            <w:vAlign w:val="center"/>
          </w:tcPr>
          <w:p>
            <w:pPr>
              <w:pStyle w:val="TableContents"/>
              <w:bidi w:val="0"/>
              <w:spacing w:before="0" w:after="283"/>
              <w:jc w:val="left"/>
              <w:rPr/>
            </w:pPr>
            <w:r>
              <w:rPr/>
              <w:t> </w:t>
            </w:r>
            <w:bookmarkStart w:id="291" w:name="xdx_401_eus-gaap--AccumulatedDepreciatio"/>
            <w:bookmarkEnd w:id="291"/>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(370,305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(364,560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2" w:name="xdx_403_eus-gaap--PropertyPlantAndEquipm"/>
            <w:bookmarkEnd w:id="292"/>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87,666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95,917</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293" w:name="xdx_8AF_zgSt1wYAOh8j"/>
      <w:bookmarkEnd w:id="29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purchased $</w:t>
      </w:r>
      <w:bookmarkStart w:id="294" w:name="xdx_90B_eus-gaap--PaymentsToAcquirePrope"/>
      <w:bookmarkEnd w:id="294"/>
      <w:r>
        <w:rPr>
          <w:rFonts w:ascii="Times New Roman;Times;Serif" w:hAnsi="Times New Roman;Times;Serif"/>
          <w:b w:val="false"/>
          <w:i w:val="false"/>
          <w:caps w:val="false"/>
          <w:smallCaps w:val="false"/>
          <w:sz w:val="20"/>
        </w:rPr>
        <w:t>5,662 and $</w:t>
      </w:r>
      <w:bookmarkStart w:id="295" w:name="xdx_90F_eus-gaap--PaymentsToAcquirePrope"/>
      <w:bookmarkEnd w:id="295"/>
      <w:r>
        <w:rPr>
          <w:rFonts w:ascii="Times New Roman;Times;Serif" w:hAnsi="Times New Roman;Times;Serif"/>
          <w:b w:val="false"/>
          <w:i w:val="false"/>
          <w:caps w:val="false"/>
          <w:smallCaps w:val="false"/>
          <w:sz w:val="20"/>
        </w:rPr>
        <w:t>720 of fixtures and office equipment,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had $</w:t>
      </w:r>
      <w:bookmarkStart w:id="296" w:name="xdx_90E_eus-gaap--DepreciationAndAmortiz"/>
      <w:bookmarkEnd w:id="296"/>
      <w:r>
        <w:rPr>
          <w:rFonts w:ascii="Times New Roman;Times;Serif" w:hAnsi="Times New Roman;Times;Serif"/>
          <w:b w:val="false"/>
          <w:i w:val="false"/>
          <w:caps w:val="false"/>
          <w:smallCaps w:val="false"/>
          <w:sz w:val="20"/>
        </w:rPr>
        <w:t>12,245 and $</w:t>
      </w:r>
      <w:bookmarkStart w:id="297" w:name="xdx_90A_eus-gaap--DepreciationAndAmortiz"/>
      <w:bookmarkEnd w:id="297"/>
      <w:r>
        <w:rPr>
          <w:rFonts w:ascii="Times New Roman;Times;Serif" w:hAnsi="Times New Roman;Times;Serif"/>
          <w:b w:val="false"/>
          <w:i w:val="false"/>
          <w:caps w:val="false"/>
          <w:smallCaps w:val="false"/>
          <w:sz w:val="20"/>
        </w:rPr>
        <w:t>14,126, recorded for depreciation,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March 31, 2026 and 2025, the Company had </w:t>
      </w:r>
      <w:bookmarkStart w:id="298" w:name="xdx_901_eus-gaap--ProceedsFromSaleOfProp"/>
      <w:bookmarkStart w:id="299" w:name="xdx_90B_eus-gaap--ProceedsFromSaleOfProp"/>
      <w:bookmarkEnd w:id="298"/>
      <w:bookmarkEnd w:id="299"/>
      <w:r>
        <w:rPr>
          <w:rFonts w:ascii="Times New Roman;Times;Serif" w:hAnsi="Times New Roman;Times;Serif"/>
          <w:b w:val="false"/>
          <w:i w:val="false"/>
          <w:caps w:val="false"/>
          <w:smallCaps w:val="false"/>
          <w:sz w:val="20"/>
        </w:rPr>
        <w:t>no disposal or pledge on property and equipment.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00" w:name="xdx_80B_eus-gaap--AccountsPayableAndAccr"/>
      <w:bookmarkEnd w:id="300"/>
      <w:r>
        <w:rPr>
          <w:rFonts w:ascii="Times New Roman;Times;Serif" w:hAnsi="Times New Roman;Times;Serif"/>
          <w:b/>
          <w:i w:val="false"/>
          <w:caps w:val="false"/>
          <w:smallCaps w:val="false"/>
          <w:sz w:val="20"/>
        </w:rPr>
        <w:t xml:space="preserve">NOTE 6 - </w:t>
      </w:r>
      <w:bookmarkStart w:id="301" w:name="xdx_82A_zvu2jjdBaBkl"/>
      <w:bookmarkEnd w:id="301"/>
      <w:r>
        <w:rPr>
          <w:rFonts w:ascii="Times New Roman;Times;Serif" w:hAnsi="Times New Roman;Times;Serif"/>
          <w:b/>
          <w:i w:val="false"/>
          <w:caps w:val="false"/>
          <w:smallCaps w:val="false"/>
          <w:sz w:val="20"/>
        </w:rPr>
        <w:t>Accounts Payable and Credit Cards Payable</w:t>
      </w:r>
    </w:p>
    <w:p>
      <w:pPr>
        <w:pStyle w:val="TextBody"/>
        <w:bidi w:val="0"/>
        <w:jc w:val="both"/>
        <w:rPr>
          <w:caps w:val="false"/>
          <w:smallCaps w:val="false"/>
        </w:rPr>
      </w:pPr>
      <w:bookmarkStart w:id="302" w:name="xdx_89B_eus-gaap--ScheduleOfAccountsPaya"/>
      <w:bookmarkEnd w:id="302"/>
      <w:r>
        <w:rPr>
          <w:caps w:val="false"/>
          <w:smallCaps w:val="false"/>
        </w:rPr>
        <w:t> </w:t>
      </w:r>
      <w:bookmarkStart w:id="303" w:name="xdx_8B0_zzUcRGJElIYf"/>
      <w:bookmarkEnd w:id="303"/>
      <w:r>
        <w:rPr>
          <w:rFonts w:ascii="Times New Roman;Times;Serif" w:hAnsi="Times New Roman;Times;Serif"/>
          <w:b w:val="false"/>
          <w:i w:val="false"/>
          <w:caps w:val="false"/>
          <w:smallCaps w:val="false"/>
          <w:sz w:val="20"/>
        </w:rPr>
        <w:t>Schedule of Accounts Payable and Credit Cards Payable</w:t>
      </w:r>
    </w:p>
    <w:tbl>
      <w:tblPr>
        <w:tblW w:w="5728" w:type="dxa"/>
        <w:jc w:val="left"/>
        <w:tblInd w:w="0" w:type="dxa"/>
        <w:tblLayout w:type="fixed"/>
        <w:tblCellMar>
          <w:top w:w="0" w:type="dxa"/>
          <w:left w:w="0" w:type="dxa"/>
          <w:bottom w:w="0" w:type="dxa"/>
          <w:right w:w="0" w:type="dxa"/>
        </w:tblCellMar>
      </w:tblPr>
      <w:tblGrid>
        <w:gridCol w:w="1970"/>
        <w:gridCol w:w="60"/>
        <w:gridCol w:w="201"/>
        <w:gridCol w:w="1408"/>
        <w:gridCol w:w="60"/>
        <w:gridCol w:w="60"/>
        <w:gridCol w:w="236"/>
        <w:gridCol w:w="1658"/>
        <w:gridCol w:w="75"/>
      </w:tblGrid>
      <w:tr>
        <w:trPr/>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04" w:name="xdx_49E_20260331_zEEVZkydd2Db"/>
            <w:bookmarkEnd w:id="304"/>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5" w:name="xdx_49B_20251231_z0wyC3FYIvre"/>
            <w:bookmarkEnd w:id="305"/>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306" w:name="xdx_407_eus-gaap--AccountsPayableCurrent"/>
            <w:bookmarkEnd w:id="306"/>
          </w:p>
        </w:tc>
      </w:tr>
      <w:tr>
        <w:trPr/>
        <w:tc>
          <w:tcPr>
            <w:tcW w:w="1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9,784,011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6,200,526</w:t>
            </w:r>
          </w:p>
        </w:tc>
        <w:tc>
          <w:tcPr>
            <w:tcW w:w="75" w:type="dxa"/>
            <w:tcBorders/>
            <w:shd w:fill="CCEEFF" w:val="clear"/>
            <w:vAlign w:val="center"/>
          </w:tcPr>
          <w:p>
            <w:pPr>
              <w:pStyle w:val="TableContents"/>
              <w:bidi w:val="0"/>
              <w:spacing w:before="0" w:after="283"/>
              <w:jc w:val="left"/>
              <w:rPr/>
            </w:pPr>
            <w:r>
              <w:rPr/>
              <w:t> </w:t>
            </w:r>
            <w:bookmarkStart w:id="307" w:name="xdx_406_ecustom--CreditCardsPayable_iI_z"/>
            <w:bookmarkEnd w:id="307"/>
          </w:p>
        </w:tc>
      </w:tr>
      <w:tr>
        <w:trPr/>
        <w:tc>
          <w:tcPr>
            <w:tcW w:w="1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Credit cards payable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3,068,467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3,707,976</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308" w:name="xdx_8AE_z8YHnCBf3b5g"/>
      <w:bookmarkEnd w:id="30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accounts payable represent amounts owed to suppliers or other creditors for goods or services purchased but not yet paid for. As of March 31, 2026 and December 31, 2025, there were accounts payable of $</w:t>
      </w:r>
      <w:bookmarkStart w:id="309" w:name="xdx_906_eus-gaap--AccountsPayableCurrent"/>
      <w:bookmarkEnd w:id="309"/>
      <w:r>
        <w:rPr>
          <w:rFonts w:ascii="Times New Roman;Times;Serif" w:hAnsi="Times New Roman;Times;Serif"/>
          <w:b w:val="false"/>
          <w:i w:val="false"/>
          <w:caps w:val="false"/>
          <w:smallCaps w:val="false"/>
          <w:sz w:val="20"/>
        </w:rPr>
        <w:t>9,784,011 and $</w:t>
      </w:r>
      <w:bookmarkStart w:id="310" w:name="xdx_908_eus-gaap--AccountsPayableCurrent"/>
      <w:bookmarkEnd w:id="310"/>
      <w:r>
        <w:rPr>
          <w:rFonts w:ascii="Times New Roman;Times;Serif" w:hAnsi="Times New Roman;Times;Serif"/>
          <w:b w:val="false"/>
          <w:i w:val="false"/>
          <w:caps w:val="false"/>
          <w:smallCaps w:val="false"/>
          <w:sz w:val="20"/>
        </w:rPr>
        <w:t>6,200,526,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credit cards payable consisted of outstanding balances on credit cards held by the Company. As of March 31, 2026 and December 31, 2025, there were credit cards payable of $</w:t>
      </w:r>
      <w:bookmarkStart w:id="311" w:name="xdx_907_ecustom--CreditCardsPayable_iI_c"/>
      <w:bookmarkEnd w:id="311"/>
      <w:r>
        <w:rPr>
          <w:rFonts w:ascii="Times New Roman;Times;Serif" w:hAnsi="Times New Roman;Times;Serif"/>
          <w:b w:val="false"/>
          <w:i w:val="false"/>
          <w:caps w:val="false"/>
          <w:smallCaps w:val="false"/>
          <w:sz w:val="20"/>
        </w:rPr>
        <w:t>3,068,467 and $</w:t>
      </w:r>
      <w:bookmarkStart w:id="312" w:name="xdx_90E_ecustom--CreditCardsPayable_iI_c"/>
      <w:bookmarkEnd w:id="312"/>
      <w:r>
        <w:rPr>
          <w:rFonts w:ascii="Times New Roman;Times;Serif" w:hAnsi="Times New Roman;Times;Serif"/>
          <w:b w:val="false"/>
          <w:i w:val="false"/>
          <w:caps w:val="false"/>
          <w:smallCaps w:val="false"/>
          <w:sz w:val="20"/>
        </w:rPr>
        <w:t>3,707,976,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13" w:name="xdx_809_eus-gaap--DebtDisclosureTextBloc"/>
      <w:bookmarkEnd w:id="313"/>
      <w:r>
        <w:rPr>
          <w:rFonts w:ascii="Times New Roman;Times;Serif" w:hAnsi="Times New Roman;Times;Serif"/>
          <w:b/>
          <w:i w:val="false"/>
          <w:caps w:val="false"/>
          <w:smallCaps w:val="false"/>
          <w:sz w:val="20"/>
        </w:rPr>
        <w:t xml:space="preserve">NOTE 7 - </w:t>
      </w:r>
      <w:bookmarkStart w:id="314" w:name="xdx_82E_zeUXi0eam1ee"/>
      <w:bookmarkEnd w:id="314"/>
      <w:r>
        <w:rPr>
          <w:rFonts w:ascii="Times New Roman;Times;Serif" w:hAnsi="Times New Roman;Times;Serif"/>
          <w:b/>
          <w:i w:val="false"/>
          <w:caps w:val="false"/>
          <w:smallCaps w:val="false"/>
          <w:sz w:val="20"/>
        </w:rPr>
        <w:t>Short-Term Loan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Line of Credit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2022, Flywheel entered into a line of credit agreement in the amount of $</w:t>
      </w:r>
      <w:bookmarkStart w:id="315" w:name="xdx_902_eus-gaap--LineOfCredit_iI_c20220"/>
      <w:bookmarkEnd w:id="315"/>
      <w:r>
        <w:rPr>
          <w:rFonts w:ascii="Times New Roman;Times;Serif" w:hAnsi="Times New Roman;Times;Serif"/>
          <w:b w:val="false"/>
          <w:i w:val="false"/>
          <w:caps w:val="false"/>
          <w:smallCaps w:val="false"/>
          <w:sz w:val="20"/>
        </w:rPr>
        <w:t xml:space="preserve">6,940,063 with Taishin International Bank (“Taishin”). As amended, the line of credit matures on May 18, 2026 and bears interest at a rate of </w:t>
      </w:r>
      <w:bookmarkStart w:id="316" w:name="xdx_905_eus-gaap--LineOfCreditFacilityIn"/>
      <w:bookmarkEnd w:id="316"/>
      <w:r>
        <w:rPr>
          <w:rFonts w:ascii="Times New Roman;Times;Serif" w:hAnsi="Times New Roman;Times;Serif"/>
          <w:b w:val="false"/>
          <w:i w:val="false"/>
          <w:caps w:val="false"/>
          <w:smallCaps w:val="false"/>
          <w:sz w:val="20"/>
        </w:rPr>
        <w:t>3.42% per annum.</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outstanding balance under the Taishin line of credit was $</w:t>
      </w:r>
      <w:bookmarkStart w:id="317" w:name="xdx_90B_eus-gaap--LineOfCredit_iI_c20260"/>
      <w:bookmarkEnd w:id="317"/>
      <w:r>
        <w:rPr>
          <w:rFonts w:ascii="Times New Roman;Times;Serif" w:hAnsi="Times New Roman;Times;Serif"/>
          <w:b w:val="false"/>
          <w:i w:val="false"/>
          <w:caps w:val="false"/>
          <w:smallCaps w:val="false"/>
          <w:sz w:val="20"/>
        </w:rPr>
        <w:t>626,076 and $</w:t>
      </w:r>
      <w:bookmarkStart w:id="318" w:name="xdx_908_eus-gaap--LineOfCredit_iI_c20251"/>
      <w:bookmarkEnd w:id="318"/>
      <w:r>
        <w:rPr>
          <w:rFonts w:ascii="Times New Roman;Times;Serif" w:hAnsi="Times New Roman;Times;Serif"/>
          <w:b w:val="false"/>
          <w:i w:val="false"/>
          <w:caps w:val="false"/>
          <w:smallCaps w:val="false"/>
          <w:sz w:val="20"/>
        </w:rPr>
        <w:t>637,348, respectively.</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19" w:name="xdx_808_eus-gaap--AccountsPayableAccrued"/>
      <w:bookmarkEnd w:id="319"/>
      <w:r>
        <w:rPr>
          <w:rFonts w:ascii="Times New Roman;Times;Serif" w:hAnsi="Times New Roman;Times;Serif"/>
          <w:b/>
          <w:i w:val="false"/>
          <w:caps w:val="false"/>
          <w:smallCaps w:val="false"/>
          <w:sz w:val="20"/>
        </w:rPr>
        <w:t xml:space="preserve">NOTE 8 - </w:t>
      </w:r>
      <w:bookmarkStart w:id="320" w:name="xdx_82A_zme0U6n32Cpl"/>
      <w:bookmarkEnd w:id="320"/>
      <w:r>
        <w:rPr>
          <w:rFonts w:ascii="Times New Roman;Times;Serif" w:hAnsi="Times New Roman;Times;Serif"/>
          <w:b/>
          <w:i w:val="false"/>
          <w:caps w:val="false"/>
          <w:smallCaps w:val="false"/>
          <w:sz w:val="20"/>
        </w:rPr>
        <w:t>Accrued Expenses and Other Current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321" w:name="xdx_895_eus-gaap--ScheduleOfAccruedLiabi"/>
      <w:bookmarkEnd w:id="321"/>
      <w:r>
        <w:rPr>
          <w:rFonts w:ascii="Times New Roman;Times;Serif" w:hAnsi="Times New Roman;Times;Serif"/>
          <w:b w:val="false"/>
          <w:i w:val="false"/>
          <w:caps w:val="false"/>
          <w:smallCaps w:val="false"/>
          <w:sz w:val="20"/>
        </w:rPr>
        <w:t>Accrued expenses and other current liabilities were comprised of the following as of March 31, 2026 and December 31, 2025, respectively:</w:t>
      </w:r>
    </w:p>
    <w:p>
      <w:pPr>
        <w:pStyle w:val="TextBody"/>
        <w:bidi w:val="0"/>
        <w:jc w:val="both"/>
        <w:rPr>
          <w:caps w:val="false"/>
          <w:smallCaps w:val="false"/>
        </w:rPr>
      </w:pPr>
      <w:r>
        <w:rPr>
          <w:caps w:val="false"/>
          <w:smallCaps w:val="false"/>
        </w:rPr>
        <w:t> </w:t>
      </w:r>
      <w:bookmarkStart w:id="322" w:name="xdx_8B2_zUlUMn5OsG2b"/>
      <w:bookmarkEnd w:id="322"/>
      <w:r>
        <w:rPr>
          <w:rFonts w:ascii="Times New Roman;Times;Serif" w:hAnsi="Times New Roman;Times;Serif"/>
          <w:b w:val="false"/>
          <w:i w:val="false"/>
          <w:caps w:val="false"/>
          <w:smallCaps w:val="false"/>
          <w:sz w:val="20"/>
        </w:rPr>
        <w:t>Schedule of Accrued Expenses and Other Current Liabilities</w:t>
      </w:r>
    </w:p>
    <w:tbl>
      <w:tblPr>
        <w:tblW w:w="5518" w:type="dxa"/>
        <w:jc w:val="left"/>
        <w:tblInd w:w="0" w:type="dxa"/>
        <w:tblLayout w:type="fixed"/>
        <w:tblCellMar>
          <w:top w:w="0" w:type="dxa"/>
          <w:left w:w="0" w:type="dxa"/>
          <w:bottom w:w="0" w:type="dxa"/>
          <w:right w:w="0" w:type="dxa"/>
        </w:tblCellMar>
      </w:tblPr>
      <w:tblGrid>
        <w:gridCol w:w="1760"/>
        <w:gridCol w:w="60"/>
        <w:gridCol w:w="239"/>
        <w:gridCol w:w="1370"/>
        <w:gridCol w:w="60"/>
        <w:gridCol w:w="60"/>
        <w:gridCol w:w="236"/>
        <w:gridCol w:w="1658"/>
        <w:gridCol w:w="75"/>
      </w:tblGrid>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23" w:name="xdx_49A_20260331_zvfpEnf8I8I5"/>
            <w:bookmarkEnd w:id="323"/>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4" w:name="xdx_495_20251231_zMqgaH37cE8l"/>
            <w:bookmarkEnd w:id="324"/>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325" w:name="xdx_40A_ecustom--AccruedSalesTaxPayableC"/>
            <w:bookmarkEnd w:id="325"/>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tax payable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16,069</w:t>
            </w:r>
          </w:p>
        </w:tc>
        <w:tc>
          <w:tcPr>
            <w:tcW w:w="75" w:type="dxa"/>
            <w:tcBorders/>
            <w:shd w:fill="CCEEFF" w:val="clear"/>
            <w:vAlign w:val="center"/>
          </w:tcPr>
          <w:p>
            <w:pPr>
              <w:pStyle w:val="TableContents"/>
              <w:bidi w:val="0"/>
              <w:spacing w:before="0" w:after="283"/>
              <w:jc w:val="left"/>
              <w:rPr/>
            </w:pPr>
            <w:r>
              <w:rPr/>
              <w:t> </w:t>
            </w:r>
            <w:bookmarkStart w:id="326" w:name="xdx_404_eus-gaap--ContractWithCustomerRe"/>
            <w:bookmarkEnd w:id="326"/>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Refund liability</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729,320</w:t>
            </w:r>
          </w:p>
        </w:tc>
        <w:tc>
          <w:tcPr>
            <w:tcW w:w="75" w:type="dxa"/>
            <w:tcBorders/>
            <w:shd w:fill="FFFFFF" w:val="clear"/>
            <w:vAlign w:val="center"/>
          </w:tcPr>
          <w:p>
            <w:pPr>
              <w:pStyle w:val="TableContents"/>
              <w:bidi w:val="0"/>
              <w:spacing w:before="0" w:after="283"/>
              <w:jc w:val="left"/>
              <w:rPr/>
            </w:pPr>
            <w:r>
              <w:rPr/>
              <w:t> </w:t>
            </w:r>
            <w:bookmarkStart w:id="327" w:name="xdx_40D_eus-gaap--AccruedSalariesCurrent"/>
            <w:bookmarkEnd w:id="327"/>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341,144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354,362</w:t>
            </w:r>
          </w:p>
        </w:tc>
        <w:tc>
          <w:tcPr>
            <w:tcW w:w="75" w:type="dxa"/>
            <w:tcBorders/>
            <w:shd w:fill="CCEEFF" w:val="clear"/>
            <w:vAlign w:val="center"/>
          </w:tcPr>
          <w:p>
            <w:pPr>
              <w:pStyle w:val="TableContents"/>
              <w:bidi w:val="0"/>
              <w:spacing w:before="0" w:after="283"/>
              <w:jc w:val="left"/>
              <w:rPr/>
            </w:pPr>
            <w:r>
              <w:rPr/>
              <w:t> </w:t>
            </w:r>
            <w:bookmarkStart w:id="328" w:name="xdx_40B_eus-gaap--AccruedBonusesCurrent_"/>
            <w:bookmarkEnd w:id="328"/>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bonus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165,910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782,612</w:t>
            </w:r>
          </w:p>
        </w:tc>
        <w:tc>
          <w:tcPr>
            <w:tcW w:w="75" w:type="dxa"/>
            <w:tcBorders/>
            <w:shd w:fill="FFFFFF" w:val="clear"/>
            <w:vAlign w:val="center"/>
          </w:tcPr>
          <w:p>
            <w:pPr>
              <w:pStyle w:val="TableContents"/>
              <w:bidi w:val="0"/>
              <w:spacing w:before="0" w:after="283"/>
              <w:jc w:val="left"/>
              <w:rPr/>
            </w:pPr>
            <w:r>
              <w:rPr/>
              <w:t> </w:t>
            </w:r>
            <w:bookmarkStart w:id="329" w:name="xdx_401_eus-gaap--AccruedLiabilitiesCurr"/>
            <w:bookmarkEnd w:id="329"/>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199,639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268,155</w:t>
            </w:r>
          </w:p>
        </w:tc>
        <w:tc>
          <w:tcPr>
            <w:tcW w:w="75" w:type="dxa"/>
            <w:tcBorders/>
            <w:shd w:fill="CCEEFF" w:val="clear"/>
            <w:vAlign w:val="center"/>
          </w:tcPr>
          <w:p>
            <w:pPr>
              <w:pStyle w:val="TableContents"/>
              <w:bidi w:val="0"/>
              <w:spacing w:before="0" w:after="283"/>
              <w:jc w:val="left"/>
              <w:rPr/>
            </w:pPr>
            <w:r>
              <w:rPr/>
              <w:t> </w:t>
            </w:r>
            <w:bookmarkStart w:id="330" w:name="xdx_407_eus-gaap--InterestAndDividendsPa"/>
            <w:bookmarkEnd w:id="330"/>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331" w:name="xdx_40B_eus-gaap--AccountsPayableOtherCu"/>
            <w:bookmarkEnd w:id="331"/>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payables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75,869</w:t>
            </w:r>
          </w:p>
        </w:tc>
        <w:tc>
          <w:tcPr>
            <w:tcW w:w="75" w:type="dxa"/>
            <w:tcBorders/>
            <w:shd w:fill="CCEEFF" w:val="clear"/>
            <w:vAlign w:val="center"/>
          </w:tcPr>
          <w:p>
            <w:pPr>
              <w:pStyle w:val="TableContents"/>
              <w:bidi w:val="0"/>
              <w:spacing w:before="0" w:after="283"/>
              <w:jc w:val="left"/>
              <w:rPr/>
            </w:pPr>
            <w:r>
              <w:rPr/>
              <w:t> </w:t>
            </w:r>
            <w:bookmarkStart w:id="332" w:name="xdx_400_eus-gaap--AccruedLiabilitiesAndO"/>
            <w:bookmarkEnd w:id="332"/>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764,060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2,226,387</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333" w:name="xdx_8A9_zKLebN1yR6b"/>
      <w:bookmarkEnd w:id="33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has accrued $</w:t>
      </w:r>
      <w:bookmarkStart w:id="334" w:name="xdx_907_eus-gaap--ContractWithCustomerRe"/>
      <w:bookmarkEnd w:id="334"/>
      <w:r>
        <w:rPr>
          <w:rFonts w:ascii="Times New Roman;Times;Serif" w:hAnsi="Times New Roman;Times;Serif"/>
          <w:b w:val="false"/>
          <w:i w:val="false"/>
          <w:caps w:val="false"/>
          <w:smallCaps w:val="false"/>
          <w:sz w:val="20"/>
        </w:rPr>
        <w:t>0 and $</w:t>
      </w:r>
      <w:bookmarkStart w:id="335" w:name="xdx_906_eus-gaap--ContractWithCustomerRe"/>
      <w:bookmarkEnd w:id="335"/>
      <w:r>
        <w:rPr>
          <w:rFonts w:ascii="Times New Roman;Times;Serif" w:hAnsi="Times New Roman;Times;Serif"/>
          <w:b w:val="false"/>
          <w:i w:val="false"/>
          <w:caps w:val="false"/>
          <w:smallCaps w:val="false"/>
          <w:sz w:val="20"/>
        </w:rPr>
        <w:t>729,320, respectively, in a proactive approach towards potential future refunds.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bonus expense is accrued on an annual basis, when the Company’s financial or operational performance meets the required performance level. The Company has $</w:t>
      </w:r>
      <w:bookmarkStart w:id="336" w:name="xdx_902_eus-gaap--AccruedBonusesCurrent_"/>
      <w:bookmarkEnd w:id="336"/>
      <w:r>
        <w:rPr>
          <w:rFonts w:ascii="Times New Roman;Times;Serif" w:hAnsi="Times New Roman;Times;Serif"/>
          <w:b w:val="false"/>
          <w:i w:val="false"/>
          <w:caps w:val="false"/>
          <w:smallCaps w:val="false"/>
          <w:sz w:val="20"/>
        </w:rPr>
        <w:t>165,910 and $</w:t>
      </w:r>
      <w:bookmarkStart w:id="337" w:name="xdx_90C_eus-gaap--AccruedBonusesCurrent_"/>
      <w:bookmarkEnd w:id="337"/>
      <w:r>
        <w:rPr>
          <w:rFonts w:ascii="Times New Roman;Times;Serif" w:hAnsi="Times New Roman;Times;Serif"/>
          <w:b w:val="false"/>
          <w:i w:val="false"/>
          <w:caps w:val="false"/>
          <w:smallCaps w:val="false"/>
          <w:sz w:val="20"/>
        </w:rPr>
        <w:t>782,612 accrued for bonuses as of March 31, 2026 and December 31,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38" w:name="xdx_805_eus-gaap--LesseeOperatingLeasesT"/>
      <w:bookmarkEnd w:id="338"/>
      <w:r>
        <w:rPr>
          <w:rFonts w:ascii="Times New Roman;Times;Serif" w:hAnsi="Times New Roman;Times;Serif"/>
          <w:b/>
          <w:i w:val="false"/>
          <w:caps w:val="false"/>
          <w:smallCaps w:val="false"/>
          <w:sz w:val="20"/>
        </w:rPr>
        <w:t xml:space="preserve">NOTE 9 - </w:t>
      </w:r>
      <w:bookmarkStart w:id="339" w:name="xdx_820_zzmE22ntI17b"/>
      <w:bookmarkEnd w:id="339"/>
      <w:r>
        <w:rPr>
          <w:rFonts w:ascii="Times New Roman;Times;Serif" w:hAnsi="Times New Roman;Times;Serif"/>
          <w:b/>
          <w:i w:val="false"/>
          <w:caps w:val="false"/>
          <w:smallCaps w:val="false"/>
          <w:sz w:val="20"/>
        </w:rPr>
        <w:t>Leases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two operating leases (Flywheel’s office leases in Taiwan) as of March 31, 2026. The leased assets in Flywheel are presented as operating lease right-of-use assets.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340" w:name="xdx_895_eus-gaap--LeaseCostTableTextBloc"/>
      <w:bookmarkEnd w:id="340"/>
      <w:r>
        <w:rPr>
          <w:rFonts w:ascii="Times New Roman;Times;Serif" w:hAnsi="Times New Roman;Times;Serif"/>
          <w:b w:val="false"/>
          <w:i w:val="false"/>
          <w:caps w:val="false"/>
          <w:smallCaps w:val="false"/>
          <w:sz w:val="20"/>
        </w:rPr>
        <w:t>The table below reconciles the fixed component of the undiscounted cash flows for each of the first five years and the total remaining years to the operating lease liabilities recorded in the statements of financial position as of March 31,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1" w:name="xdx_8B0_zwPXCubXe6Gj"/>
      <w:bookmarkEnd w:id="341"/>
      <w:r>
        <w:rPr>
          <w:rFonts w:ascii="Times New Roman;Times;Serif" w:hAnsi="Times New Roman;Times;Serif"/>
          <w:b w:val="false"/>
          <w:i w:val="false"/>
          <w:caps w:val="false"/>
          <w:smallCaps w:val="false"/>
          <w:sz w:val="20"/>
        </w:rPr>
        <w:t>Schedule of Operating Leases Cost</w:t>
      </w:r>
    </w:p>
    <w:tbl>
      <w:tblPr>
        <w:tblW w:w="9173" w:type="dxa"/>
        <w:jc w:val="left"/>
        <w:tblInd w:w="0" w:type="dxa"/>
        <w:tblLayout w:type="fixed"/>
        <w:tblCellMar>
          <w:top w:w="0" w:type="dxa"/>
          <w:left w:w="0" w:type="dxa"/>
          <w:bottom w:w="0" w:type="dxa"/>
          <w:right w:w="0" w:type="dxa"/>
        </w:tblCellMar>
      </w:tblPr>
      <w:tblGrid>
        <w:gridCol w:w="5570"/>
        <w:gridCol w:w="60"/>
        <w:gridCol w:w="183"/>
        <w:gridCol w:w="1051"/>
        <w:gridCol w:w="215"/>
        <w:gridCol w:w="60"/>
        <w:gridCol w:w="305"/>
        <w:gridCol w:w="1499"/>
        <w:gridCol w:w="230"/>
      </w:tblGrid>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Flywheel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Flywheel</w:t>
            </w:r>
          </w:p>
        </w:tc>
        <w:tc>
          <w:tcPr>
            <w:tcW w:w="23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2025</w:t>
            </w:r>
          </w:p>
        </w:tc>
        <w:tc>
          <w:tcPr>
            <w:tcW w:w="230" w:type="dxa"/>
            <w:tcBorders/>
            <w:vAlign w:val="center"/>
          </w:tcPr>
          <w:p>
            <w:pPr>
              <w:pStyle w:val="TableContents"/>
              <w:bidi w:val="0"/>
              <w:spacing w:before="0" w:after="283"/>
              <w:jc w:val="left"/>
              <w:rPr/>
            </w:pPr>
            <w:r>
              <w:rPr/>
              <w:t> </w:t>
            </w:r>
          </w:p>
        </w:tc>
      </w:tr>
      <w:tr>
        <w:trPr/>
        <w:tc>
          <w:tcPr>
            <w:tcW w:w="55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lease term</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 June 2027</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 November 2028</w:t>
            </w:r>
          </w:p>
        </w:tc>
        <w:tc>
          <w:tcPr>
            <w:tcW w:w="23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recognition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2" w:name="xdx_988_eus-gaap--OperatingLeaseRightOfU"/>
            <w:bookmarkEnd w:id="342"/>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3" w:name="xdx_98D_eus-gaap--OperatingLeaseRightOfU"/>
            <w:bookmarkEnd w:id="343"/>
          </w:p>
        </w:tc>
        <w:tc>
          <w:tcPr>
            <w:tcW w:w="14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79,971</w:t>
            </w:r>
          </w:p>
        </w:tc>
        <w:tc>
          <w:tcPr>
            <w:tcW w:w="23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remaining lease term at March 31, 2026</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rPr>
            </w:pPr>
            <w:bookmarkStart w:id="344" w:name="xdx_900_eus-gaap--OperatingLeaseWeighted"/>
            <w:bookmarkEnd w:id="344"/>
            <w:r>
              <w:rPr>
                <w:rFonts w:ascii="Times New Roman;Times;Serif" w:hAnsi="Times New Roman;Times;Serif"/>
              </w:rPr>
              <w:t>1.25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right"/>
              <w:rPr>
                <w:rFonts w:ascii="Times New Roman;Times;Serif" w:hAnsi="Times New Roman;Times;Serif"/>
              </w:rPr>
            </w:pPr>
            <w:bookmarkStart w:id="345" w:name="xdx_908_eus-gaap--OperatingLeaseWeighted"/>
            <w:bookmarkEnd w:id="345"/>
            <w:r>
              <w:rPr>
                <w:rFonts w:ascii="Times New Roman;Times;Serif" w:hAnsi="Times New Roman;Times;Serif"/>
              </w:rPr>
              <w:t>2.67</w:t>
            </w:r>
          </w:p>
        </w:tc>
        <w:tc>
          <w:tcPr>
            <w:tcW w:w="23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discount rate at March 31, 2026</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rPr>
            </w:pPr>
            <w:bookmarkStart w:id="346" w:name="xdx_900_eus-gaap--OperatingLeaseWeighted"/>
            <w:bookmarkEnd w:id="346"/>
            <w:r>
              <w:rPr>
                <w:rFonts w:ascii="Times New Roman;Times;Serif" w:hAnsi="Times New Roman;Times;Serif"/>
              </w:rPr>
              <w:t>3.33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right"/>
              <w:rPr>
                <w:rFonts w:ascii="Times New Roman;Times;Serif" w:hAnsi="Times New Roman;Times;Serif"/>
              </w:rPr>
            </w:pPr>
            <w:bookmarkStart w:id="347" w:name="xdx_909_eus-gaap--OperatingLeaseWeighted"/>
            <w:bookmarkEnd w:id="347"/>
            <w:r>
              <w:rPr>
                <w:rFonts w:ascii="Times New Roman;Times;Serif" w:hAnsi="Times New Roman;Times;Serif"/>
              </w:rPr>
              <w:t>3.33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both"/>
        <w:rPr>
          <w:caps w:val="false"/>
          <w:smallCaps w:val="false"/>
        </w:rPr>
      </w:pPr>
      <w:bookmarkStart w:id="348" w:name="xdx_8A8_zEfWf3m5pbL1"/>
      <w:bookmarkEnd w:id="34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liabilities-current as of March 31, 2026 and December 31, 2025 were $</w:t>
      </w:r>
      <w:bookmarkStart w:id="349" w:name="xdx_903_eus-gaap--OperatingLeaseLiabilit"/>
      <w:bookmarkEnd w:id="349"/>
      <w:r>
        <w:rPr>
          <w:rFonts w:ascii="Times New Roman;Times;Serif" w:hAnsi="Times New Roman;Times;Serif"/>
          <w:b w:val="false"/>
          <w:i w:val="false"/>
          <w:caps w:val="false"/>
          <w:smallCaps w:val="false"/>
          <w:sz w:val="20"/>
        </w:rPr>
        <w:t>90,728 and $</w:t>
      </w:r>
      <w:bookmarkStart w:id="350" w:name="xdx_901_eus-gaap--OperatingLeaseLiabilit"/>
      <w:bookmarkEnd w:id="350"/>
      <w:r>
        <w:rPr>
          <w:rFonts w:ascii="Times New Roman;Times;Serif" w:hAnsi="Times New Roman;Times;Serif"/>
          <w:b w:val="false"/>
          <w:i w:val="false"/>
          <w:caps w:val="false"/>
          <w:smallCaps w:val="false"/>
          <w:sz w:val="20"/>
        </w:rPr>
        <w:t>92,362, respectively. Operating lease liabilities-non-current as of March 31, 2026 and December 31, 2025 were $</w:t>
      </w:r>
      <w:bookmarkStart w:id="351" w:name="xdx_90E_eus-gaap--OperatingLeaseLiabilit"/>
      <w:bookmarkEnd w:id="351"/>
      <w:r>
        <w:rPr>
          <w:rFonts w:ascii="Times New Roman;Times;Serif" w:hAnsi="Times New Roman;Times;Serif"/>
          <w:b w:val="false"/>
          <w:i w:val="false"/>
          <w:caps w:val="false"/>
          <w:smallCaps w:val="false"/>
          <w:sz w:val="20"/>
        </w:rPr>
        <w:t>60,081 and $</w:t>
      </w:r>
      <w:bookmarkStart w:id="352" w:name="xdx_900_eus-gaap--OperatingLeaseLiabilit"/>
      <w:bookmarkEnd w:id="352"/>
      <w:r>
        <w:rPr>
          <w:rFonts w:ascii="Times New Roman;Times;Serif" w:hAnsi="Times New Roman;Times;Serif"/>
          <w:b w:val="false"/>
          <w:i w:val="false"/>
          <w:caps w:val="false"/>
          <w:smallCaps w:val="false"/>
          <w:sz w:val="20"/>
        </w:rPr>
        <w:t>83,271, respectively. The operating lease right-of-use assets balance as of March 31, 2026 and December 31, 2025, were $</w:t>
      </w:r>
      <w:bookmarkStart w:id="353" w:name="xdx_90E_eus-gaap--OperatingLeaseRightOfU"/>
      <w:bookmarkEnd w:id="353"/>
      <w:r>
        <w:rPr>
          <w:rFonts w:ascii="Times New Roman;Times;Serif" w:hAnsi="Times New Roman;Times;Serif"/>
          <w:b w:val="false"/>
          <w:i w:val="false"/>
          <w:caps w:val="false"/>
          <w:smallCaps w:val="false"/>
          <w:sz w:val="20"/>
        </w:rPr>
        <w:t>145,424 and $</w:t>
      </w:r>
      <w:bookmarkStart w:id="354" w:name="xdx_90D_eus-gaap--OperatingLeaseRightOfU"/>
      <w:bookmarkEnd w:id="354"/>
      <w:r>
        <w:rPr>
          <w:rFonts w:ascii="Times New Roman;Times;Serif" w:hAnsi="Times New Roman;Times;Serif"/>
          <w:b w:val="false"/>
          <w:i w:val="false"/>
          <w:caps w:val="false"/>
          <w:smallCaps w:val="false"/>
          <w:sz w:val="20"/>
        </w:rPr>
        <w:t>169,368,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amortization of the operating lease right-of-use asset was $</w:t>
      </w:r>
      <w:bookmarkStart w:id="355" w:name="xdx_906_eus-gaap--OperatingLeaseRightOfU"/>
      <w:bookmarkEnd w:id="355"/>
      <w:r>
        <w:rPr>
          <w:rFonts w:ascii="Times New Roman;Times;Serif" w:hAnsi="Times New Roman;Times;Serif"/>
          <w:b w:val="false"/>
          <w:i w:val="false"/>
          <w:caps w:val="false"/>
          <w:smallCaps w:val="false"/>
          <w:sz w:val="20"/>
        </w:rPr>
        <w:t>21,038 and $</w:t>
      </w:r>
      <w:bookmarkStart w:id="356" w:name="xdx_900_eus-gaap--OperatingLeaseRightOfU"/>
      <w:bookmarkEnd w:id="356"/>
      <w:r>
        <w:rPr>
          <w:rFonts w:ascii="Times New Roman;Times;Serif" w:hAnsi="Times New Roman;Times;Serif"/>
          <w:b w:val="false"/>
          <w:i w:val="false"/>
          <w:caps w:val="false"/>
          <w:smallCaps w:val="false"/>
          <w:sz w:val="20"/>
        </w:rPr>
        <w:t>55,383, respectively. These amounts were recorded in general and administrative expenses. Additionally, for the three months ended March 31, 2026 and 2025, the Company made lease payments of $</w:t>
      </w:r>
      <w:bookmarkStart w:id="357" w:name="xdx_90E_eus-gaap--OperatingLeasePayments"/>
      <w:bookmarkEnd w:id="357"/>
      <w:r>
        <w:rPr>
          <w:rFonts w:ascii="Times New Roman;Times;Serif" w:hAnsi="Times New Roman;Times;Serif"/>
          <w:b w:val="false"/>
          <w:i w:val="false"/>
          <w:caps w:val="false"/>
          <w:smallCaps w:val="false"/>
          <w:sz w:val="20"/>
        </w:rPr>
        <w:t>23,191 and $</w:t>
      </w:r>
      <w:bookmarkStart w:id="358" w:name="xdx_901_eus-gaap--OperatingLeasePayments"/>
      <w:bookmarkEnd w:id="358"/>
      <w:r>
        <w:rPr>
          <w:rFonts w:ascii="Times New Roman;Times;Serif" w:hAnsi="Times New Roman;Times;Serif"/>
          <w:b w:val="false"/>
          <w:i w:val="false"/>
          <w:caps w:val="false"/>
          <w:smallCaps w:val="false"/>
          <w:sz w:val="20"/>
        </w:rPr>
        <w:t>57,757, respectively, which were included in the operating cash flows statements.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359" w:name="xdx_892_eus-gaap--LesseeOperatingLeaseLi"/>
      <w:bookmarkEnd w:id="359"/>
      <w:r>
        <w:rPr>
          <w:rFonts w:ascii="Times New Roman;Times;Serif" w:hAnsi="Times New Roman;Times;Serif"/>
          <w:b w:val="false"/>
          <w:i w:val="false"/>
          <w:caps w:val="false"/>
          <w:smallCaps w:val="false"/>
          <w:sz w:val="20"/>
        </w:rPr>
        <w:t>The future minimum lease payment schedule for all operating leases as of March 31, 2026, is as disclosed below.</w:t>
      </w:r>
    </w:p>
    <w:p>
      <w:pPr>
        <w:pStyle w:val="TextBody"/>
        <w:bidi w:val="0"/>
        <w:jc w:val="both"/>
        <w:rPr>
          <w:caps w:val="false"/>
          <w:smallCaps w:val="false"/>
        </w:rPr>
      </w:pPr>
      <w:r>
        <w:rPr>
          <w:caps w:val="false"/>
          <w:smallCaps w:val="false"/>
        </w:rPr>
        <w:t> </w:t>
      </w:r>
      <w:bookmarkStart w:id="360" w:name="xdx_8B5_zL0rSMc3aO4a"/>
      <w:bookmarkEnd w:id="360"/>
      <w:r>
        <w:rPr>
          <w:rFonts w:ascii="Times New Roman;Times;Serif" w:hAnsi="Times New Roman;Times;Serif"/>
          <w:b/>
          <w:i w:val="false"/>
          <w:caps w:val="false"/>
          <w:smallCaps w:val="false"/>
          <w:sz w:val="20"/>
        </w:rPr>
        <w:t>Schedule of Operating Lease Liabilities</w:t>
      </w:r>
    </w:p>
    <w:tbl>
      <w:tblPr>
        <w:tblW w:w="5975" w:type="dxa"/>
        <w:jc w:val="left"/>
        <w:tblInd w:w="0" w:type="dxa"/>
        <w:tblLayout w:type="fixed"/>
        <w:tblCellMar>
          <w:top w:w="0" w:type="dxa"/>
          <w:left w:w="0" w:type="dxa"/>
          <w:bottom w:w="28" w:type="dxa"/>
          <w:right w:w="0" w:type="dxa"/>
        </w:tblCellMar>
      </w:tblPr>
      <w:tblGrid>
        <w:gridCol w:w="4865"/>
        <w:gridCol w:w="60"/>
        <w:gridCol w:w="140"/>
        <w:gridCol w:w="800"/>
        <w:gridCol w:w="110"/>
      </w:tblGrid>
      <w:tr>
        <w:trPr/>
        <w:tc>
          <w:tcPr>
            <w:tcW w:w="486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 Ending March 31,</w:t>
            </w:r>
          </w:p>
        </w:tc>
        <w:tc>
          <w:tcPr>
            <w:tcW w:w="60" w:type="dxa"/>
            <w:tcBorders/>
            <w:tcMar>
              <w:bottom w:w="0" w:type="dxa"/>
            </w:tcMar>
            <w:vAlign w:val="center"/>
          </w:tcPr>
          <w:p>
            <w:pPr>
              <w:pStyle w:val="TableContents"/>
              <w:bidi w:val="0"/>
              <w:spacing w:before="0" w:after="283"/>
              <w:jc w:val="left"/>
              <w:rPr/>
            </w:pPr>
            <w:r>
              <w:rPr/>
              <w:t> </w:t>
            </w:r>
            <w:bookmarkStart w:id="361" w:name="xdx_49E_20260331_zklmWyDMKsn8"/>
            <w:bookmarkEnd w:id="361"/>
          </w:p>
        </w:tc>
        <w:tc>
          <w:tcPr>
            <w:tcW w:w="9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bookmarkStart w:id="362" w:name="xdx_403_eus-gaap--LesseeOperatingLeaseLi"/>
            <w:bookmarkEnd w:id="362"/>
          </w:p>
        </w:tc>
      </w:tr>
      <w:tr>
        <w:trPr/>
        <w:tc>
          <w:tcPr>
            <w:tcW w:w="48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69,279</w:t>
            </w:r>
          </w:p>
        </w:tc>
        <w:tc>
          <w:tcPr>
            <w:tcW w:w="110" w:type="dxa"/>
            <w:tcBorders/>
            <w:shd w:fill="CCEEFF" w:val="clear"/>
            <w:tcMar>
              <w:bottom w:w="0" w:type="dxa"/>
            </w:tcMar>
            <w:vAlign w:val="center"/>
          </w:tcPr>
          <w:p>
            <w:pPr>
              <w:pStyle w:val="TableContents"/>
              <w:bidi w:val="0"/>
              <w:spacing w:before="0" w:after="283"/>
              <w:jc w:val="left"/>
              <w:rPr/>
            </w:pPr>
            <w:r>
              <w:rPr/>
              <w:t> </w:t>
            </w:r>
            <w:bookmarkStart w:id="363" w:name="xdx_40B_eus-gaap--LesseeOperatingLeaseLi"/>
            <w:bookmarkEnd w:id="363"/>
          </w:p>
        </w:tc>
      </w:tr>
      <w:tr>
        <w:trPr/>
        <w:tc>
          <w:tcPr>
            <w:tcW w:w="48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60,245</w:t>
            </w:r>
          </w:p>
        </w:tc>
        <w:tc>
          <w:tcPr>
            <w:tcW w:w="110" w:type="dxa"/>
            <w:tcBorders/>
            <w:shd w:fill="FFFFFF" w:val="clear"/>
            <w:tcMar>
              <w:bottom w:w="0" w:type="dxa"/>
            </w:tcMar>
            <w:vAlign w:val="center"/>
          </w:tcPr>
          <w:p>
            <w:pPr>
              <w:pStyle w:val="TableContents"/>
              <w:bidi w:val="0"/>
              <w:spacing w:before="0" w:after="283"/>
              <w:jc w:val="left"/>
              <w:rPr/>
            </w:pPr>
            <w:r>
              <w:rPr/>
              <w:t> </w:t>
            </w:r>
            <w:bookmarkStart w:id="364" w:name="xdx_401_eus-gaap--LesseeOperatingLeaseLi"/>
            <w:bookmarkEnd w:id="364"/>
          </w:p>
        </w:tc>
      </w:tr>
      <w:tr>
        <w:trPr/>
        <w:tc>
          <w:tcPr>
            <w:tcW w:w="48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26,414</w:t>
            </w:r>
          </w:p>
        </w:tc>
        <w:tc>
          <w:tcPr>
            <w:tcW w:w="110" w:type="dxa"/>
            <w:tcBorders/>
            <w:shd w:fill="CCEEFF" w:val="clear"/>
            <w:tcMar>
              <w:bottom w:w="0" w:type="dxa"/>
            </w:tcMar>
            <w:vAlign w:val="center"/>
          </w:tcPr>
          <w:p>
            <w:pPr>
              <w:pStyle w:val="TableContents"/>
              <w:bidi w:val="0"/>
              <w:spacing w:before="0" w:after="283"/>
              <w:jc w:val="left"/>
              <w:rPr/>
            </w:pPr>
            <w:r>
              <w:rPr/>
              <w:t> </w:t>
            </w:r>
            <w:bookmarkStart w:id="365" w:name="xdx_40E_ecustom--LesseeOperatingLeaseLia"/>
            <w:bookmarkEnd w:id="365"/>
          </w:p>
        </w:tc>
      </w:tr>
      <w:tr>
        <w:trPr/>
        <w:tc>
          <w:tcPr>
            <w:tcW w:w="48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2029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366" w:name="xdx_40E_eus-gaap--LesseeOperatingLeaseLi"/>
            <w:bookmarkEnd w:id="366"/>
          </w:p>
        </w:tc>
      </w:tr>
      <w:tr>
        <w:trPr/>
        <w:tc>
          <w:tcPr>
            <w:tcW w:w="48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155,938</w:t>
            </w:r>
          </w:p>
        </w:tc>
        <w:tc>
          <w:tcPr>
            <w:tcW w:w="110" w:type="dxa"/>
            <w:tcBorders/>
            <w:shd w:fill="CCEEFF" w:val="clear"/>
            <w:tcMar>
              <w:bottom w:w="0" w:type="dxa"/>
            </w:tcMar>
            <w:vAlign w:val="center"/>
          </w:tcPr>
          <w:p>
            <w:pPr>
              <w:pStyle w:val="TableContents"/>
              <w:bidi w:val="0"/>
              <w:spacing w:before="0" w:after="283"/>
              <w:jc w:val="left"/>
              <w:rPr/>
            </w:pPr>
            <w:r>
              <w:rPr/>
              <w:t> </w:t>
            </w:r>
            <w:bookmarkStart w:id="367" w:name="xdx_404_eus-gaap--LesseeOperatingLeaseLi"/>
            <w:bookmarkEnd w:id="367"/>
          </w:p>
        </w:tc>
      </w:tr>
      <w:tr>
        <w:trPr/>
        <w:tc>
          <w:tcPr>
            <w:tcW w:w="48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effect of discounting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(5,129</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8" w:name="xdx_40B_eus-gaap--OperatingLeaseLiabilit"/>
            <w:bookmarkEnd w:id="368"/>
          </w:p>
        </w:tc>
      </w:tr>
      <w:tr>
        <w:trPr/>
        <w:tc>
          <w:tcPr>
            <w:tcW w:w="48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the future minimum lease 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150,809</w:t>
            </w:r>
          </w:p>
        </w:tc>
        <w:tc>
          <w:tcPr>
            <w:tcW w:w="110" w:type="dxa"/>
            <w:tcBorders/>
            <w:shd w:fill="CCEEFF" w:val="clear"/>
            <w:tcMar>
              <w:bottom w:w="0" w:type="dxa"/>
            </w:tcMar>
            <w:vAlign w:val="center"/>
          </w:tcPr>
          <w:p>
            <w:pPr>
              <w:pStyle w:val="TableContents"/>
              <w:bidi w:val="0"/>
              <w:spacing w:before="0" w:after="283"/>
              <w:jc w:val="left"/>
              <w:rPr/>
            </w:pPr>
            <w:r>
              <w:rPr/>
              <w:t> </w:t>
            </w:r>
            <w:bookmarkStart w:id="369" w:name="xdx_405_eus-gaap--OperatingLeaseLiabilit"/>
            <w:bookmarkEnd w:id="369"/>
          </w:p>
        </w:tc>
      </w:tr>
      <w:tr>
        <w:trPr/>
        <w:tc>
          <w:tcPr>
            <w:tcW w:w="48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operating lease liabilities-current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(90,728</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0" w:name="xdx_408_eus-gaap--OperatingLeaseLiabilit"/>
            <w:bookmarkEnd w:id="370"/>
          </w:p>
        </w:tc>
      </w:tr>
      <w:tr>
        <w:trPr/>
        <w:tc>
          <w:tcPr>
            <w:tcW w:w="48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60,081</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371" w:name="xdx_8AE_zE11ROSsIjnf"/>
      <w:bookmarkEnd w:id="371"/>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72" w:name="xdx_805_eus-gaap--RelatedPartyTransactio"/>
      <w:bookmarkEnd w:id="372"/>
      <w:r>
        <w:rPr>
          <w:rFonts w:ascii="Times New Roman;Times;Serif" w:hAnsi="Times New Roman;Times;Serif"/>
          <w:b/>
          <w:i w:val="false"/>
          <w:caps w:val="false"/>
          <w:smallCaps w:val="false"/>
          <w:sz w:val="20"/>
        </w:rPr>
        <w:t xml:space="preserve">NOTE 10 - </w:t>
      </w:r>
      <w:bookmarkStart w:id="373" w:name="xdx_825_zh0JTOFj7dd6"/>
      <w:bookmarkEnd w:id="373"/>
      <w:r>
        <w:rPr>
          <w:rFonts w:ascii="Times New Roman;Times;Serif" w:hAnsi="Times New Roman;Times;Serif"/>
          <w:b/>
          <w:i w:val="false"/>
          <w:caps w:val="false"/>
          <w:smallCaps w:val="false"/>
          <w:sz w:val="20"/>
        </w:rPr>
        <w:t>Related Party Balances and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receives loans and advances from its stockholders to fund its operations. Stockholder loans and advances are payable on demand. As of March 31, 2026 and December 31, 2025, the Company had $</w:t>
      </w:r>
      <w:bookmarkStart w:id="374" w:name="xdx_90A_eus-gaap--OtherLiabilities_iI_c2"/>
      <w:bookmarkEnd w:id="374"/>
      <w:r>
        <w:rPr>
          <w:rFonts w:ascii="Times New Roman;Times;Serif" w:hAnsi="Times New Roman;Times;Serif"/>
          <w:b w:val="false"/>
          <w:i w:val="false"/>
          <w:caps w:val="false"/>
          <w:smallCaps w:val="false"/>
          <w:sz w:val="20"/>
        </w:rPr>
        <w:t>2,060,418 and $</w:t>
      </w:r>
      <w:bookmarkStart w:id="375" w:name="xdx_905_eus-gaap--OtherLiabilities_iI_c2"/>
      <w:bookmarkEnd w:id="375"/>
      <w:r>
        <w:rPr>
          <w:rFonts w:ascii="Times New Roman;Times;Serif" w:hAnsi="Times New Roman;Times;Serif"/>
          <w:b w:val="false"/>
          <w:i w:val="false"/>
          <w:caps w:val="false"/>
          <w:smallCaps w:val="false"/>
          <w:sz w:val="20"/>
        </w:rPr>
        <w:t xml:space="preserve">3,810,418, respectively, due to related parties (Sam Lai, the Company’s Chairman of the Board, Chief Executive Officer and Interim Chief Financial Officer and a significant stockholder of the Company; and Maggie Yu, the Company’s Senior Vice President, a member of the Company’s Board of Directors and a significant stockholder of the Company). The loan is memorialized in a subordinated Loan Agreement. As amended, the loan matures on </w:t>
      </w:r>
      <w:bookmarkStart w:id="376" w:name="xdx_903_eus-gaap--DebtInstrumentMaturity"/>
      <w:bookmarkEnd w:id="376"/>
      <w:r>
        <w:rPr>
          <w:rFonts w:ascii="Times New Roman;Times;Serif" w:hAnsi="Times New Roman;Times;Serif"/>
          <w:b w:val="false"/>
          <w:i w:val="false"/>
          <w:caps w:val="false"/>
          <w:smallCaps w:val="false"/>
          <w:sz w:val="20"/>
        </w:rPr>
        <w:t xml:space="preserve">December 31, 2026 and has an annual interest rate of </w:t>
      </w:r>
      <w:bookmarkStart w:id="377" w:name="xdx_90F_eus-gaap--DebtInstrumentInterest"/>
      <w:bookmarkEnd w:id="377"/>
      <w:r>
        <w:rPr>
          <w:rFonts w:ascii="Times New Roman;Times;Serif" w:hAnsi="Times New Roman;Times;Serif"/>
          <w:b w:val="false"/>
          <w:i w:val="false"/>
          <w:caps w:val="false"/>
          <w:smallCaps w:val="false"/>
          <w:sz w:val="20"/>
        </w:rPr>
        <w:t>4.75%.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this amount included $</w:t>
      </w:r>
      <w:bookmarkStart w:id="378" w:name="xdx_90B_ecustom--StockholderPayable_iI_c"/>
      <w:bookmarkEnd w:id="378"/>
      <w:r>
        <w:rPr>
          <w:rFonts w:ascii="Times New Roman;Times;Serif" w:hAnsi="Times New Roman;Times;Serif"/>
          <w:b w:val="false"/>
          <w:i w:val="false"/>
          <w:caps w:val="false"/>
          <w:smallCaps w:val="false"/>
          <w:sz w:val="20"/>
        </w:rPr>
        <w:t>2,060,418 in stockholder payables and $</w:t>
      </w:r>
      <w:bookmarkStart w:id="379" w:name="xdx_90D_eus-gaap--AccruedBonusesCurrent_"/>
      <w:bookmarkEnd w:id="379"/>
      <w:r>
        <w:rPr>
          <w:rFonts w:ascii="Times New Roman;Times;Serif" w:hAnsi="Times New Roman;Times;Serif"/>
          <w:b w:val="false"/>
          <w:i w:val="false"/>
          <w:caps w:val="false"/>
          <w:smallCaps w:val="false"/>
          <w:sz w:val="20"/>
        </w:rPr>
        <w:t>0 accrued for bonuses. As of December 31, 2025, this amount included $</w:t>
      </w:r>
      <w:bookmarkStart w:id="380" w:name="xdx_903_ecustom--StockholderPayable_iI_c"/>
      <w:bookmarkEnd w:id="380"/>
      <w:r>
        <w:rPr>
          <w:rFonts w:ascii="Times New Roman;Times;Serif" w:hAnsi="Times New Roman;Times;Serif"/>
          <w:b w:val="false"/>
          <w:i w:val="false"/>
          <w:caps w:val="false"/>
          <w:smallCaps w:val="false"/>
          <w:sz w:val="20"/>
        </w:rPr>
        <w:t>2,660,418 in stockholder payables and $</w:t>
      </w:r>
      <w:bookmarkStart w:id="381" w:name="xdx_900_eus-gaap--AccruedBonusesCurrent_"/>
      <w:bookmarkEnd w:id="381"/>
      <w:r>
        <w:rPr>
          <w:rFonts w:ascii="Times New Roman;Times;Serif" w:hAnsi="Times New Roman;Times;Serif"/>
          <w:b w:val="false"/>
          <w:i w:val="false"/>
          <w:caps w:val="false"/>
          <w:smallCaps w:val="false"/>
          <w:sz w:val="20"/>
        </w:rPr>
        <w:t>1,150,000 accrued for bonuses.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made repayments to related parties of $</w:t>
      </w:r>
      <w:bookmarkStart w:id="382" w:name="xdx_907_eus-gaap--RepaymentsOfRelatedPar"/>
      <w:bookmarkEnd w:id="382"/>
      <w:r>
        <w:rPr>
          <w:rFonts w:ascii="Times New Roman;Times;Serif" w:hAnsi="Times New Roman;Times;Serif"/>
          <w:b w:val="false"/>
          <w:i w:val="false"/>
          <w:caps w:val="false"/>
          <w:smallCaps w:val="false"/>
          <w:sz w:val="20"/>
        </w:rPr>
        <w:t>600,000 and $</w:t>
      </w:r>
      <w:bookmarkStart w:id="383" w:name="xdx_90D_eus-gaap--RepaymentsOfRelatedPar"/>
      <w:bookmarkEnd w:id="383"/>
      <w:r>
        <w:rPr>
          <w:rFonts w:ascii="Times New Roman;Times;Serif" w:hAnsi="Times New Roman;Times;Serif"/>
          <w:b w:val="false"/>
          <w:i w:val="false"/>
          <w:caps w:val="false"/>
          <w:smallCaps w:val="false"/>
          <w:sz w:val="20"/>
        </w:rPr>
        <w:t>839,000,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84" w:name="xdx_80C_eus-gaap--RevenueFromContractWit"/>
      <w:bookmarkEnd w:id="384"/>
      <w:r>
        <w:rPr>
          <w:rFonts w:ascii="Times New Roman;Times;Serif" w:hAnsi="Times New Roman;Times;Serif"/>
          <w:b/>
          <w:i w:val="false"/>
          <w:caps w:val="false"/>
          <w:smallCaps w:val="false"/>
          <w:sz w:val="20"/>
        </w:rPr>
        <w:t xml:space="preserve">NOTE 11 – </w:t>
      </w:r>
      <w:bookmarkStart w:id="385" w:name="xdx_820_zMFh9fZ1Ovp9"/>
      <w:bookmarkEnd w:id="385"/>
      <w:r>
        <w:rPr>
          <w:rFonts w:ascii="Times New Roman;Times;Serif" w:hAnsi="Times New Roman;Times;Serif"/>
          <w:b/>
          <w:i w:val="false"/>
          <w:caps w:val="false"/>
          <w:smallCaps w:val="false"/>
          <w:sz w:val="20"/>
        </w:rPr>
        <w:t>Disaggregation of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386" w:name="xdx_895_eus-gaap--DisaggregationOfRevenu"/>
      <w:bookmarkEnd w:id="386"/>
      <w:r>
        <w:rPr>
          <w:rFonts w:ascii="Times New Roman;Times;Serif" w:hAnsi="Times New Roman;Times;Serif"/>
          <w:b w:val="false"/>
          <w:i w:val="false"/>
          <w:caps w:val="false"/>
          <w:smallCaps w:val="false"/>
          <w:sz w:val="20"/>
        </w:rPr>
        <w:t>Revenues were comprised of the following for the three months ended March 31, 2026 and 2025, respectively:</w:t>
      </w:r>
    </w:p>
    <w:p>
      <w:pPr>
        <w:pStyle w:val="TextBody"/>
        <w:bidi w:val="0"/>
        <w:jc w:val="both"/>
        <w:rPr>
          <w:caps w:val="false"/>
          <w:smallCaps w:val="false"/>
        </w:rPr>
      </w:pPr>
      <w:r>
        <w:rPr>
          <w:caps w:val="false"/>
          <w:smallCaps w:val="false"/>
        </w:rPr>
        <w:t> </w:t>
      </w:r>
      <w:bookmarkStart w:id="387" w:name="xdx_8B0_zUWCjd1SsyO4"/>
      <w:bookmarkEnd w:id="387"/>
      <w:r>
        <w:rPr>
          <w:rFonts w:ascii="Times New Roman;Times;Serif" w:hAnsi="Times New Roman;Times;Serif"/>
          <w:b w:val="false"/>
          <w:i w:val="false"/>
          <w:caps w:val="false"/>
          <w:smallCaps w:val="false"/>
          <w:sz w:val="20"/>
        </w:rPr>
        <w:t>Schedule of Revenue</w:t>
      </w:r>
    </w:p>
    <w:tbl>
      <w:tblPr>
        <w:tblW w:w="5711" w:type="dxa"/>
        <w:jc w:val="left"/>
        <w:tblInd w:w="0" w:type="dxa"/>
        <w:tblLayout w:type="fixed"/>
        <w:tblCellMar>
          <w:top w:w="0" w:type="dxa"/>
          <w:left w:w="0" w:type="dxa"/>
          <w:bottom w:w="0" w:type="dxa"/>
          <w:right w:w="0" w:type="dxa"/>
        </w:tblCellMar>
      </w:tblPr>
      <w:tblGrid>
        <w:gridCol w:w="2225"/>
        <w:gridCol w:w="60"/>
        <w:gridCol w:w="176"/>
        <w:gridCol w:w="1385"/>
        <w:gridCol w:w="119"/>
        <w:gridCol w:w="75"/>
        <w:gridCol w:w="176"/>
        <w:gridCol w:w="1385"/>
        <w:gridCol w:w="110"/>
      </w:tblGrid>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88" w:name="xdx_495_20260101__20260331_zLGShx004dK6"/>
            <w:bookmarkEnd w:id="388"/>
          </w:p>
        </w:tc>
        <w:tc>
          <w:tcPr>
            <w:tcW w:w="15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89" w:name="xdx_495_20250101__20250331_zX2huzBtpw4a"/>
            <w:bookmarkEnd w:id="389"/>
          </w:p>
        </w:tc>
        <w:tc>
          <w:tcPr>
            <w:tcW w:w="15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March 31,</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1" w:type="dxa"/>
            <w:gridSpan w:val="2"/>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61"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390" w:name="xdx_40E_eus-gaap--RevenueFromContractWit"/>
            <w:bookmarkEnd w:id="390"/>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Revenues-U.S.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8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30,599,413</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26,602,547</w:t>
            </w:r>
          </w:p>
        </w:tc>
        <w:tc>
          <w:tcPr>
            <w:tcW w:w="110" w:type="dxa"/>
            <w:tcBorders/>
            <w:shd w:fill="CCEEFF" w:val="clear"/>
            <w:vAlign w:val="center"/>
          </w:tcPr>
          <w:p>
            <w:pPr>
              <w:pStyle w:val="TableContents"/>
              <w:bidi w:val="0"/>
              <w:spacing w:before="0" w:after="283"/>
              <w:jc w:val="left"/>
              <w:rPr/>
            </w:pPr>
            <w:r>
              <w:rPr/>
              <w:t> </w:t>
            </w:r>
            <w:bookmarkStart w:id="391" w:name="xdx_40A_eus-gaap--RevenueFromContractWit"/>
            <w:bookmarkEnd w:id="391"/>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Revenues-International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1,560,528</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951,439</w:t>
            </w:r>
          </w:p>
        </w:tc>
        <w:tc>
          <w:tcPr>
            <w:tcW w:w="110" w:type="dxa"/>
            <w:tcBorders/>
            <w:shd w:fill="FFFFFF" w:val="clear"/>
            <w:vAlign w:val="center"/>
          </w:tcPr>
          <w:p>
            <w:pPr>
              <w:pStyle w:val="TableContents"/>
              <w:bidi w:val="0"/>
              <w:spacing w:before="0" w:after="283"/>
              <w:jc w:val="left"/>
              <w:rPr/>
            </w:pPr>
            <w:r>
              <w:rPr/>
              <w:t> </w:t>
            </w:r>
            <w:bookmarkStart w:id="392" w:name="xdx_40F_eus-gaap--RevenueFromContractWit"/>
            <w:bookmarkEnd w:id="392"/>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Revenues-Other</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260,503</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302,255</w:t>
            </w:r>
          </w:p>
        </w:tc>
        <w:tc>
          <w:tcPr>
            <w:tcW w:w="110" w:type="dxa"/>
            <w:tcBorders/>
            <w:shd w:fill="CCEEFF" w:val="clear"/>
            <w:vAlign w:val="center"/>
          </w:tcPr>
          <w:p>
            <w:pPr>
              <w:pStyle w:val="TableContents"/>
              <w:bidi w:val="0"/>
              <w:spacing w:before="0" w:after="283"/>
              <w:jc w:val="left"/>
              <w:rPr/>
            </w:pPr>
            <w:r>
              <w:rPr/>
              <w:t> </w:t>
            </w:r>
            <w:bookmarkStart w:id="393" w:name="xdx_401_eus-gaap--RevenueFromContractWit"/>
            <w:bookmarkEnd w:id="393"/>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260,503</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302,255</w:t>
            </w:r>
          </w:p>
        </w:tc>
        <w:tc>
          <w:tcPr>
            <w:tcW w:w="110" w:type="dxa"/>
            <w:tcBorders/>
            <w:shd w:fill="CCEEFF" w:val="clear"/>
            <w:vAlign w:val="center"/>
          </w:tcPr>
          <w:p>
            <w:pPr>
              <w:pStyle w:val="TableContents"/>
              <w:bidi w:val="0"/>
              <w:spacing w:before="0" w:after="283"/>
              <w:jc w:val="left"/>
              <w:rPr/>
            </w:pPr>
            <w:r>
              <w:rPr/>
              <w:t> </w:t>
            </w:r>
            <w:bookmarkStart w:id="394" w:name="xdx_40C_ecustom--DisaggregationOfRevenue"/>
            <w:bookmarkEnd w:id="394"/>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returns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(2,182,061</w:t>
            </w:r>
          </w:p>
        </w:tc>
        <w:tc>
          <w:tcPr>
            <w:tcW w:w="11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(1,767,559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5" w:name="xdx_406_ecustom--DisaggregationOfRevenue"/>
            <w:bookmarkEnd w:id="395"/>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Discounts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(308,041</w:t>
            </w:r>
          </w:p>
        </w:tc>
        <w:tc>
          <w:tcPr>
            <w:tcW w:w="11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(251,592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6" w:name="xdx_409_eus-gaap--RevenueFromContractWit"/>
            <w:bookmarkEnd w:id="396"/>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29,930,342</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25,837,090</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397" w:name="xdx_8A7_z4gFgxkS4omf"/>
      <w:bookmarkEnd w:id="397"/>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98" w:name="xdx_804_eus-gaap--IncomeTaxDisclosureTex"/>
      <w:bookmarkEnd w:id="398"/>
      <w:r>
        <w:rPr>
          <w:rFonts w:ascii="Times New Roman;Times;Serif" w:hAnsi="Times New Roman;Times;Serif"/>
          <w:b/>
          <w:i w:val="false"/>
          <w:caps w:val="false"/>
          <w:smallCaps w:val="false"/>
          <w:sz w:val="20"/>
        </w:rPr>
        <w:t xml:space="preserve">NOTE 12 - </w:t>
      </w:r>
      <w:bookmarkStart w:id="399" w:name="xdx_821_zDQecgpAHN9l"/>
      <w:bookmarkEnd w:id="399"/>
      <w:r>
        <w:rPr>
          <w:rFonts w:ascii="Times New Roman;Times;Serif" w:hAnsi="Times New Roman;Times;Serif"/>
          <w:b/>
          <w:i w:val="false"/>
          <w:caps w:val="false"/>
          <w:smallCaps w:val="false"/>
          <w:sz w:val="20"/>
        </w:rPr>
        <w:t>Income Tax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400" w:name="xdx_89B_eus-gaap--ScheduleOfEffectiveInc"/>
      <w:bookmarkEnd w:id="400"/>
      <w:r>
        <w:rPr>
          <w:rFonts w:ascii="Times New Roman;Times;Serif" w:hAnsi="Times New Roman;Times;Serif"/>
          <w:b w:val="false"/>
          <w:i w:val="false"/>
          <w:caps w:val="false"/>
          <w:smallCaps w:val="false"/>
          <w:sz w:val="20"/>
        </w:rPr>
        <w:t>The components of income taxes expense are as follows: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1" w:name="xdx_8B1_zdplYBtP4sA7"/>
      <w:bookmarkEnd w:id="401"/>
      <w:r>
        <w:rPr>
          <w:rFonts w:ascii="Times New Roman;Times;Serif" w:hAnsi="Times New Roman;Times;Serif"/>
          <w:b w:val="false"/>
          <w:i w:val="false"/>
          <w:caps w:val="false"/>
          <w:smallCaps w:val="false"/>
          <w:sz w:val="20"/>
        </w:rPr>
        <w:t>Schedule of Effective Tax Rate Reconciliation</w:t>
      </w:r>
    </w:p>
    <w:tbl>
      <w:tblPr>
        <w:tblW w:w="8068" w:type="dxa"/>
        <w:jc w:val="left"/>
        <w:tblInd w:w="0" w:type="dxa"/>
        <w:tblLayout w:type="fixed"/>
        <w:tblCellMar>
          <w:top w:w="0" w:type="dxa"/>
          <w:left w:w="0" w:type="dxa"/>
          <w:bottom w:w="28" w:type="dxa"/>
          <w:right w:w="0" w:type="dxa"/>
        </w:tblCellMar>
      </w:tblPr>
      <w:tblGrid>
        <w:gridCol w:w="4734"/>
        <w:gridCol w:w="62"/>
        <w:gridCol w:w="145"/>
        <w:gridCol w:w="1019"/>
        <w:gridCol w:w="62"/>
        <w:gridCol w:w="62"/>
        <w:gridCol w:w="62"/>
        <w:gridCol w:w="582"/>
        <w:gridCol w:w="223"/>
        <w:gridCol w:w="62"/>
        <w:gridCol w:w="145"/>
        <w:gridCol w:w="832"/>
        <w:gridCol w:w="78"/>
      </w:tblGrid>
      <w:tr>
        <w:trPr/>
        <w:tc>
          <w:tcPr>
            <w:tcW w:w="8068" w:type="dxa"/>
            <w:gridSpan w:val="13"/>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Effective Tax Rate Reconciliation for the Three Months Ended March 31, 2026</w:t>
            </w:r>
          </w:p>
        </w:tc>
      </w:tr>
      <w:tr>
        <w:trPr/>
        <w:tc>
          <w:tcPr>
            <w:tcW w:w="473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Pretax book income</w:t>
            </w:r>
          </w:p>
        </w:tc>
        <w:tc>
          <w:tcPr>
            <w:tcW w:w="62"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w:t>
            </w:r>
            <w:bookmarkStart w:id="402" w:name="xdx_987_eus-gaap--IncomeLossFromContinui"/>
            <w:bookmarkEnd w:id="402"/>
          </w:p>
        </w:tc>
        <w:tc>
          <w:tcPr>
            <w:tcW w:w="10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1,133,140</w:t>
            </w:r>
          </w:p>
        </w:tc>
        <w:tc>
          <w:tcPr>
            <w:tcW w:w="62"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bookmarkStart w:id="403" w:name="xdx_98F_eus-gaap--EffectiveIncomeTaxRate"/>
            <w:bookmarkEnd w:id="403"/>
          </w:p>
        </w:tc>
        <w:tc>
          <w:tcPr>
            <w:tcW w:w="58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w:t>
            </w:r>
            <w:bookmarkStart w:id="404" w:name="xdx_988_eus-gaap--IncomeTaxReconciliatio"/>
            <w:bookmarkEnd w:id="404"/>
          </w:p>
        </w:tc>
        <w:tc>
          <w:tcPr>
            <w:tcW w:w="8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237,959</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73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w:t>
            </w:r>
          </w:p>
        </w:tc>
        <w:tc>
          <w:tcPr>
            <w:tcW w:w="62"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bookmarkStart w:id="405" w:name="xdx_98F_ecustom--IncomeTaxReconciliation"/>
            <w:bookmarkEnd w:id="405"/>
          </w:p>
        </w:tc>
        <w:tc>
          <w:tcPr>
            <w:tcW w:w="10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24,113</w:t>
            </w:r>
          </w:p>
        </w:tc>
        <w:tc>
          <w:tcPr>
            <w:tcW w:w="62"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bookmarkStart w:id="406" w:name="xdx_98C_eus-gaap--EffectiveIncomeTaxRate"/>
            <w:bookmarkEnd w:id="406"/>
          </w:p>
        </w:tc>
        <w:tc>
          <w:tcPr>
            <w:tcW w:w="58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0.45</w:t>
            </w:r>
          </w:p>
        </w:tc>
        <w:tc>
          <w:tcPr>
            <w:tcW w:w="22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bookmarkStart w:id="407" w:name="xdx_982_eus-gaap--IncomeTaxReconciliatio"/>
            <w:bookmarkEnd w:id="407"/>
          </w:p>
        </w:tc>
        <w:tc>
          <w:tcPr>
            <w:tcW w:w="8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5,064</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73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Prior year federal permanent differences true-up</w:t>
            </w:r>
          </w:p>
        </w:tc>
        <w:tc>
          <w:tcPr>
            <w:tcW w:w="62"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bookmarkStart w:id="408" w:name="xdx_984_ecustom--IncomeTaxReconciliation"/>
            <w:bookmarkEnd w:id="408"/>
          </w:p>
        </w:tc>
        <w:tc>
          <w:tcPr>
            <w:tcW w:w="10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110,378</w:t>
            </w:r>
          </w:p>
        </w:tc>
        <w:tc>
          <w:tcPr>
            <w:tcW w:w="62"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bookmarkStart w:id="409" w:name="xdx_98F_eus-gaap--EffectiveIncomeTaxRate"/>
            <w:bookmarkEnd w:id="409"/>
          </w:p>
        </w:tc>
        <w:tc>
          <w:tcPr>
            <w:tcW w:w="58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w:t>
            </w:r>
          </w:p>
        </w:tc>
        <w:tc>
          <w:tcPr>
            <w:tcW w:w="2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bookmarkStart w:id="410" w:name="xdx_988_eus-gaap--IncomeTaxReconciliatio"/>
            <w:bookmarkEnd w:id="410"/>
          </w:p>
        </w:tc>
        <w:tc>
          <w:tcPr>
            <w:tcW w:w="8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23,179</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73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income tax</w:t>
            </w:r>
          </w:p>
        </w:tc>
        <w:tc>
          <w:tcPr>
            <w:tcW w:w="62"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bookmarkStart w:id="411" w:name="xdx_981_ecustom--IncomeTaxReconciliation"/>
            <w:bookmarkEnd w:id="411"/>
          </w:p>
        </w:tc>
        <w:tc>
          <w:tcPr>
            <w:tcW w:w="10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58,036</w:t>
            </w:r>
          </w:p>
        </w:tc>
        <w:tc>
          <w:tcPr>
            <w:tcW w:w="62"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bookmarkStart w:id="412" w:name="xdx_983_eus-gaap--EffectiveIncomeTaxRate"/>
            <w:bookmarkEnd w:id="412"/>
          </w:p>
        </w:tc>
        <w:tc>
          <w:tcPr>
            <w:tcW w:w="58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0.14</w:t>
            </w:r>
          </w:p>
        </w:tc>
        <w:tc>
          <w:tcPr>
            <w:tcW w:w="22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bookmarkStart w:id="413" w:name="xdx_98B_eus-gaap--IncomeTaxReconciliatio"/>
            <w:bookmarkEnd w:id="413"/>
          </w:p>
        </w:tc>
        <w:tc>
          <w:tcPr>
            <w:tcW w:w="8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73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deferred adjustment</w:t>
            </w:r>
          </w:p>
        </w:tc>
        <w:tc>
          <w:tcPr>
            <w:tcW w:w="62"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bookmarkStart w:id="414" w:name="xdx_983_ecustom--IncomeTaxReconciliation"/>
            <w:bookmarkEnd w:id="414"/>
          </w:p>
        </w:tc>
        <w:tc>
          <w:tcPr>
            <w:tcW w:w="10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2"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bookmarkStart w:id="415" w:name="xdx_980_eus-gaap--EffectiveIncomeTaxRate"/>
            <w:bookmarkEnd w:id="415"/>
          </w:p>
        </w:tc>
        <w:tc>
          <w:tcPr>
            <w:tcW w:w="58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w:t>
            </w:r>
          </w:p>
        </w:tc>
        <w:tc>
          <w:tcPr>
            <w:tcW w:w="2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bookmarkStart w:id="416" w:name="xdx_982_eus-gaap--IncomeTaxReconciliatio"/>
            <w:bookmarkEnd w:id="416"/>
          </w:p>
        </w:tc>
        <w:tc>
          <w:tcPr>
            <w:tcW w:w="8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41,898</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73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tax expense</w:t>
            </w:r>
          </w:p>
        </w:tc>
        <w:tc>
          <w:tcPr>
            <w:tcW w:w="62"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19" w:type="dxa"/>
            <w:tcBorders/>
            <w:shd w:fill="FFFFFF" w:val="clear"/>
            <w:tcMar>
              <w:bottom w:w="0" w:type="dxa"/>
            </w:tcMar>
            <w:vAlign w:val="center"/>
          </w:tcPr>
          <w:p>
            <w:pPr>
              <w:pStyle w:val="TableContents"/>
              <w:bidi w:val="0"/>
              <w:spacing w:before="0" w:after="283"/>
              <w:jc w:val="righ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bookmarkStart w:id="417" w:name="xdx_984_eus-gaap--EffectiveIncomeTaxRate"/>
            <w:bookmarkEnd w:id="417"/>
          </w:p>
        </w:tc>
        <w:tc>
          <w:tcPr>
            <w:tcW w:w="58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27.33</w:t>
            </w:r>
          </w:p>
        </w:tc>
        <w:tc>
          <w:tcPr>
            <w:tcW w:w="22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w:t>
            </w:r>
            <w:bookmarkStart w:id="418" w:name="xdx_98E_eus-gaap--IncomeTaxExpenseBenefi"/>
            <w:bookmarkEnd w:id="418"/>
          </w:p>
        </w:tc>
        <w:tc>
          <w:tcPr>
            <w:tcW w:w="8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309,658</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jc w:val="left"/>
        <w:rPr>
          <w:caps w:val="false"/>
          <w:smallCaps w:val="false"/>
        </w:rPr>
      </w:pPr>
      <w:r>
        <w:rPr>
          <w:caps w:val="false"/>
          <w:smallCaps w:val="false"/>
        </w:rPr>
        <w:t> </w:t>
      </w:r>
    </w:p>
    <w:tbl>
      <w:tblPr>
        <w:tblW w:w="8068" w:type="dxa"/>
        <w:jc w:val="left"/>
        <w:tblInd w:w="0" w:type="dxa"/>
        <w:tblLayout w:type="fixed"/>
        <w:tblCellMar>
          <w:top w:w="0" w:type="dxa"/>
          <w:left w:w="0" w:type="dxa"/>
          <w:bottom w:w="28" w:type="dxa"/>
          <w:right w:w="0" w:type="dxa"/>
        </w:tblCellMar>
      </w:tblPr>
      <w:tblGrid>
        <w:gridCol w:w="4847"/>
        <w:gridCol w:w="63"/>
        <w:gridCol w:w="149"/>
        <w:gridCol w:w="852"/>
        <w:gridCol w:w="63"/>
        <w:gridCol w:w="63"/>
        <w:gridCol w:w="63"/>
        <w:gridCol w:w="596"/>
        <w:gridCol w:w="229"/>
        <w:gridCol w:w="63"/>
        <w:gridCol w:w="149"/>
        <w:gridCol w:w="852"/>
        <w:gridCol w:w="79"/>
      </w:tblGrid>
      <w:tr>
        <w:trPr/>
        <w:tc>
          <w:tcPr>
            <w:tcW w:w="8068" w:type="dxa"/>
            <w:gridSpan w:val="13"/>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Effective Tax Rate Reconciliation for the Three Months Ended March 31, 2025</w:t>
            </w:r>
          </w:p>
        </w:tc>
      </w:tr>
      <w:tr>
        <w:trPr/>
        <w:tc>
          <w:tcPr>
            <w:tcW w:w="48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Pre-tax book income</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9" w:name="xdx_98E_eus-gaap--IncomeLossFromContinui"/>
            <w:bookmarkEnd w:id="419"/>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935,936</w:t>
            </w:r>
          </w:p>
        </w:tc>
        <w:tc>
          <w:tcPr>
            <w:tcW w:w="63"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bookmarkStart w:id="420" w:name="xdx_98D_eus-gaap--EffectiveIncomeTaxRate"/>
            <w:bookmarkEnd w:id="420"/>
          </w:p>
        </w:tc>
        <w:tc>
          <w:tcPr>
            <w:tcW w:w="5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2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1" w:name="xdx_98F_eus-gaap--IncomeTaxReconciliatio"/>
            <w:bookmarkEnd w:id="421"/>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196,547</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4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bookmarkStart w:id="422" w:name="xdx_980_ecustom--IncomeTaxReconciliation"/>
            <w:bookmarkEnd w:id="422"/>
          </w:p>
        </w:tc>
        <w:tc>
          <w:tcPr>
            <w:tcW w:w="8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18,862</w:t>
            </w:r>
          </w:p>
        </w:tc>
        <w:tc>
          <w:tcPr>
            <w:tcW w:w="63"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bookmarkStart w:id="423" w:name="xdx_988_eus-gaap--EffectiveIncomeTaxRate"/>
            <w:bookmarkEnd w:id="423"/>
          </w:p>
        </w:tc>
        <w:tc>
          <w:tcPr>
            <w:tcW w:w="5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0.42</w:t>
            </w:r>
          </w:p>
        </w:tc>
        <w:tc>
          <w:tcPr>
            <w:tcW w:w="22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bookmarkStart w:id="424" w:name="xdx_984_eus-gaap--IncomeTaxReconciliatio"/>
            <w:bookmarkEnd w:id="424"/>
          </w:p>
        </w:tc>
        <w:tc>
          <w:tcPr>
            <w:tcW w:w="8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3,961</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8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Prior year federal permanent differences true-up</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bookmarkStart w:id="425" w:name="xdx_989_ecustom--IncomeTaxReconciliation"/>
            <w:bookmarkEnd w:id="425"/>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117,653</w:t>
            </w:r>
          </w:p>
        </w:tc>
        <w:tc>
          <w:tcPr>
            <w:tcW w:w="63"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bookmarkStart w:id="426" w:name="xdx_989_eus-gaap--EffectiveIncomeTaxRate"/>
            <w:bookmarkEnd w:id="426"/>
          </w:p>
        </w:tc>
        <w:tc>
          <w:tcPr>
            <w:tcW w:w="5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w:t>
            </w:r>
          </w:p>
        </w:tc>
        <w:tc>
          <w:tcPr>
            <w:tcW w:w="22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bookmarkStart w:id="427" w:name="xdx_98E_eus-gaap--IncomeTaxReconciliatio"/>
            <w:bookmarkEnd w:id="427"/>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24,707</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4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income tax</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bookmarkStart w:id="428" w:name="xdx_984_ecustom--IncomeTaxReconciliation"/>
            <w:bookmarkEnd w:id="428"/>
          </w:p>
        </w:tc>
        <w:tc>
          <w:tcPr>
            <w:tcW w:w="8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42,326</w:t>
            </w:r>
          </w:p>
        </w:tc>
        <w:tc>
          <w:tcPr>
            <w:tcW w:w="63"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bookmarkStart w:id="429" w:name="xdx_98C_eus-gaap--EffectiveIncomeTaxRate"/>
            <w:bookmarkEnd w:id="429"/>
          </w:p>
        </w:tc>
        <w:tc>
          <w:tcPr>
            <w:tcW w:w="5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w:t>
            </w:r>
          </w:p>
        </w:tc>
        <w:tc>
          <w:tcPr>
            <w:tcW w:w="22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bookmarkStart w:id="430" w:name="xdx_98B_eus-gaap--IncomeTaxReconciliatio"/>
            <w:bookmarkEnd w:id="430"/>
          </w:p>
        </w:tc>
        <w:tc>
          <w:tcPr>
            <w:tcW w:w="8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40,984</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8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deferred adjustment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bookmarkStart w:id="431" w:name="xdx_98E_ecustom--IncomeTaxReconciliation"/>
            <w:bookmarkEnd w:id="431"/>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bookmarkStart w:id="432" w:name="xdx_986_eus-gaap--EffectiveIncomeTaxRate"/>
            <w:bookmarkEnd w:id="432"/>
          </w:p>
        </w:tc>
        <w:tc>
          <w:tcPr>
            <w:tcW w:w="59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w:t>
            </w:r>
          </w:p>
        </w:tc>
        <w:tc>
          <w:tcPr>
            <w:tcW w:w="22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single" w:sz="8" w:space="0" w:color="000000"/>
            </w:tcBorders>
            <w:shd w:fill="CCEEFF" w:val="clear"/>
            <w:vAlign w:val="center"/>
          </w:tcPr>
          <w:p>
            <w:pPr>
              <w:pStyle w:val="TableContents"/>
              <w:bidi w:val="0"/>
              <w:spacing w:before="0" w:after="283"/>
              <w:jc w:val="left"/>
              <w:rPr/>
            </w:pPr>
            <w:r>
              <w:rPr/>
              <w:t> </w:t>
            </w:r>
            <w:bookmarkStart w:id="433" w:name="xdx_98C_eus-gaap--IncomeTaxReconciliatio"/>
            <w:bookmarkEnd w:id="433"/>
          </w:p>
        </w:tc>
        <w:tc>
          <w:tcPr>
            <w:tcW w:w="85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15,220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4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tax expense</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bookmarkStart w:id="434" w:name="xdx_98F_eus-gaap--EffectiveIncomeTaxRate"/>
            <w:bookmarkEnd w:id="434"/>
          </w:p>
        </w:tc>
        <w:tc>
          <w:tcPr>
            <w:tcW w:w="5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30.07</w:t>
            </w:r>
          </w:p>
        </w:tc>
        <w:tc>
          <w:tcPr>
            <w:tcW w:w="22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5" w:name="xdx_988_eus-gaap--IncomeTaxExpenseBenefi"/>
            <w:bookmarkEnd w:id="435"/>
          </w:p>
        </w:tc>
        <w:tc>
          <w:tcPr>
            <w:tcW w:w="8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281,419</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436" w:name="xdx_8AF_z9RiBrrsAvgc"/>
      <w:bookmarkEnd w:id="436"/>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37" w:name="xdx_8B3_zqOdm8L4qOCg"/>
      <w:bookmarkStart w:id="438" w:name="xdx_897_eus-gaap--ScheduleOfComponentsOf"/>
      <w:bookmarkEnd w:id="437"/>
      <w:bookmarkEnd w:id="438"/>
      <w:r>
        <w:rPr>
          <w:rFonts w:ascii="Times New Roman;Times;Serif" w:hAnsi="Times New Roman;Times;Serif"/>
          <w:b w:val="false"/>
          <w:i w:val="false"/>
          <w:caps w:val="false"/>
          <w:smallCaps w:val="false"/>
          <w:sz w:val="20"/>
        </w:rPr>
        <w:t>Schedule of Tax Expense Summary </w:t>
      </w:r>
    </w:p>
    <w:tbl>
      <w:tblPr>
        <w:tblW w:w="10205" w:type="dxa"/>
        <w:jc w:val="left"/>
        <w:tblInd w:w="0" w:type="dxa"/>
        <w:tblLayout w:type="fixed"/>
        <w:tblCellMar>
          <w:top w:w="0" w:type="dxa"/>
          <w:left w:w="0" w:type="dxa"/>
          <w:bottom w:w="0" w:type="dxa"/>
          <w:right w:w="0" w:type="dxa"/>
        </w:tblCellMar>
      </w:tblPr>
      <w:tblGrid>
        <w:gridCol w:w="6240"/>
        <w:gridCol w:w="60"/>
        <w:gridCol w:w="202"/>
        <w:gridCol w:w="979"/>
        <w:gridCol w:w="60"/>
        <w:gridCol w:w="60"/>
        <w:gridCol w:w="82"/>
        <w:gridCol w:w="1108"/>
        <w:gridCol w:w="95"/>
        <w:gridCol w:w="60"/>
        <w:gridCol w:w="84"/>
        <w:gridCol w:w="1097"/>
        <w:gridCol w:w="78"/>
      </w:tblGrid>
      <w:tr>
        <w:trPr/>
        <w:tc>
          <w:tcPr>
            <w:tcW w:w="6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Current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Deferred</w:t>
              <w:br/>
              <w:t>Income Tax</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8" w:type="dxa"/>
            <w:tcBorders/>
            <w:vAlign w:val="center"/>
          </w:tcPr>
          <w:p>
            <w:pPr>
              <w:pStyle w:val="TableContents"/>
              <w:bidi w:val="0"/>
              <w:spacing w:before="0" w:after="283"/>
              <w:jc w:val="left"/>
              <w:rPr/>
            </w:pPr>
            <w:r>
              <w:rPr/>
              <w:t> </w:t>
            </w:r>
          </w:p>
        </w:tc>
      </w:tr>
      <w:tr>
        <w:trPr/>
        <w:tc>
          <w:tcPr>
            <w:tcW w:w="6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 Tax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Expense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 Tax</w:t>
            </w:r>
          </w:p>
        </w:tc>
        <w:tc>
          <w:tcPr>
            <w:tcW w:w="78" w:type="dxa"/>
            <w:tcBorders/>
            <w:vAlign w:val="center"/>
          </w:tcPr>
          <w:p>
            <w:pPr>
              <w:pStyle w:val="TableContents"/>
              <w:bidi w:val="0"/>
              <w:spacing w:before="0" w:after="283"/>
              <w:jc w:val="left"/>
              <w:rPr/>
            </w:pPr>
            <w:r>
              <w:rPr/>
              <w:t> </w:t>
            </w:r>
          </w:p>
        </w:tc>
      </w:tr>
      <w:tr>
        <w:trPr/>
        <w:tc>
          <w:tcPr>
            <w:tcW w:w="6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Tax Expense Summary, for the Three Months Ended March 31, 2026</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Expense</w:t>
            </w:r>
          </w:p>
        </w:tc>
        <w:tc>
          <w:tcPr>
            <w:tcW w:w="78" w:type="dxa"/>
            <w:tcBorders/>
            <w:vAlign w:val="center"/>
          </w:tcPr>
          <w:p>
            <w:pPr>
              <w:pStyle w:val="TableContents"/>
              <w:bidi w:val="0"/>
              <w:spacing w:before="0" w:after="283"/>
              <w:jc w:val="left"/>
              <w:rPr/>
            </w:pPr>
            <w:r>
              <w:rPr/>
              <w:t> </w:t>
            </w:r>
          </w:p>
        </w:tc>
      </w:tr>
      <w:tr>
        <w:trPr/>
        <w:tc>
          <w:tcPr>
            <w:tcW w:w="6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9" w:name="xdx_980_eus-gaap--CurrentFederalTaxExpen"/>
            <w:bookmarkEnd w:id="439"/>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440" w:name="xdx_984_eus-gaap--DeferredFederalIncomeT"/>
            <w:bookmarkEnd w:id="440"/>
          </w:p>
        </w:tc>
        <w:tc>
          <w:tcPr>
            <w:tcW w:w="11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bookmarkStart w:id="441" w:name="xdx_981_eus-gaap--FederalIncomeTaxExpens"/>
            <w:bookmarkEnd w:id="441"/>
          </w:p>
        </w:tc>
        <w:tc>
          <w:tcPr>
            <w:tcW w:w="10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295,912</w:t>
            </w:r>
          </w:p>
        </w:tc>
        <w:tc>
          <w:tcPr>
            <w:tcW w:w="78" w:type="dxa"/>
            <w:tcBorders/>
            <w:shd w:fill="CCEEFF" w:val="clear"/>
            <w:vAlign w:val="center"/>
          </w:tcPr>
          <w:p>
            <w:pPr>
              <w:pStyle w:val="TableContents"/>
              <w:bidi w:val="0"/>
              <w:spacing w:before="0" w:after="283"/>
              <w:jc w:val="left"/>
              <w:rPr/>
            </w:pPr>
            <w:r>
              <w:rPr/>
              <w:t> </w:t>
            </w:r>
          </w:p>
        </w:tc>
      </w:tr>
      <w:tr>
        <w:trPr/>
        <w:tc>
          <w:tcPr>
            <w:tcW w:w="62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2" w:name="xdx_98C_eus-gaap--CurrentStateAndLocalTa"/>
            <w:bookmarkEnd w:id="442"/>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3" w:name="xdx_987_eus-gaap--DeferredStateAndLocalI"/>
            <w:bookmarkEnd w:id="443"/>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(44,290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4" w:name="xdx_983_eus-gaap--StateAndLocalIncomeTax"/>
            <w:bookmarkEnd w:id="444"/>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13,746</w:t>
            </w:r>
          </w:p>
        </w:tc>
        <w:tc>
          <w:tcPr>
            <w:tcW w:w="78" w:type="dxa"/>
            <w:tcBorders/>
            <w:shd w:fill="FFFFFF" w:val="clear"/>
            <w:vAlign w:val="center"/>
          </w:tcPr>
          <w:p>
            <w:pPr>
              <w:pStyle w:val="TableContents"/>
              <w:bidi w:val="0"/>
              <w:spacing w:before="0" w:after="283"/>
              <w:jc w:val="left"/>
              <w:rPr/>
            </w:pPr>
            <w:r>
              <w:rPr/>
              <w:t> </w:t>
            </w:r>
          </w:p>
        </w:tc>
      </w:tr>
      <w:tr>
        <w:trPr/>
        <w:tc>
          <w:tcPr>
            <w:tcW w:w="6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tax expense</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5" w:name="xdx_98E_eus-gaap--CurrentIncomeTaxExpens"/>
            <w:bookmarkEnd w:id="445"/>
          </w:p>
        </w:tc>
        <w:tc>
          <w:tcPr>
            <w:tcW w:w="9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46" w:name="xdx_985_eus-gaap--DeferredIncomeTaxExpen"/>
            <w:bookmarkEnd w:id="446"/>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47" w:name="xdx_986_eus-gaap--IncomeTaxExpenseBenefi"/>
            <w:bookmarkEnd w:id="447"/>
          </w:p>
        </w:tc>
        <w:tc>
          <w:tcPr>
            <w:tcW w:w="10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309,658</w:t>
            </w:r>
          </w:p>
        </w:tc>
        <w:tc>
          <w:tcPr>
            <w:tcW w:w="78"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39"/>
        <w:gridCol w:w="60"/>
        <w:gridCol w:w="174"/>
        <w:gridCol w:w="850"/>
        <w:gridCol w:w="60"/>
        <w:gridCol w:w="60"/>
        <w:gridCol w:w="153"/>
        <w:gridCol w:w="879"/>
        <w:gridCol w:w="60"/>
        <w:gridCol w:w="60"/>
        <w:gridCol w:w="153"/>
        <w:gridCol w:w="879"/>
        <w:gridCol w:w="78"/>
      </w:tblGrid>
      <w:tr>
        <w:trPr/>
        <w:tc>
          <w:tcPr>
            <w:tcW w:w="6739"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Tax Expense Summary, for the Three Months Ended March 31, 2025</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2"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2"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78" w:type="dxa"/>
            <w:tcBorders/>
            <w:tcMar>
              <w:bottom w:w="0" w:type="dxa"/>
            </w:tcMar>
            <w:vAlign w:val="center"/>
          </w:tcPr>
          <w:p>
            <w:pPr>
              <w:pStyle w:val="TableContents"/>
              <w:bidi w:val="0"/>
              <w:spacing w:before="0" w:after="283"/>
              <w:jc w:val="left"/>
              <w:rPr/>
            </w:pPr>
            <w:r>
              <w:rPr/>
              <w:t> </w:t>
            </w:r>
          </w:p>
        </w:tc>
      </w:tr>
      <w:tr>
        <w:trPr/>
        <w:tc>
          <w:tcPr>
            <w:tcW w:w="673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8" w:name="xdx_98C_eus-gaap--CurrentFederalTaxExpen"/>
            <w:bookmarkEnd w:id="448"/>
          </w:p>
        </w:tc>
        <w:tc>
          <w:tcPr>
            <w:tcW w:w="8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9" w:name="xdx_98B_eus-gaap--DeferredFederalIncomeT"/>
            <w:bookmarkEnd w:id="449"/>
          </w:p>
        </w:tc>
        <w:tc>
          <w:tcPr>
            <w:tcW w:w="8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202,966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0" w:name="xdx_984_eus-gaap--FederalIncomeTaxExpens"/>
            <w:bookmarkEnd w:id="450"/>
          </w:p>
        </w:tc>
        <w:tc>
          <w:tcPr>
            <w:tcW w:w="8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239,093</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673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pPr>
            <w:r>
              <w:rPr/>
              <w:t> </w:t>
            </w:r>
            <w:bookmarkStart w:id="451" w:name="xdx_98E_eus-gaap--CurrentStateAndLocalTa"/>
            <w:bookmarkEnd w:id="451"/>
          </w:p>
        </w:tc>
        <w:tc>
          <w:tcPr>
            <w:tcW w:w="8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bottom w:val="single" w:sz="8" w:space="0" w:color="000000"/>
            </w:tcBorders>
            <w:shd w:fill="FFFFFF" w:val="clear"/>
            <w:vAlign w:val="center"/>
          </w:tcPr>
          <w:p>
            <w:pPr>
              <w:pStyle w:val="TableContents"/>
              <w:bidi w:val="0"/>
              <w:spacing w:before="0" w:after="283"/>
              <w:jc w:val="left"/>
              <w:rPr/>
            </w:pPr>
            <w:r>
              <w:rPr/>
              <w:t> </w:t>
            </w:r>
            <w:bookmarkStart w:id="452" w:name="xdx_980_eus-gaap--DeferredStateAndLocalI"/>
            <w:bookmarkEnd w:id="452"/>
          </w:p>
        </w:tc>
        <w:tc>
          <w:tcPr>
            <w:tcW w:w="87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bottom w:val="single" w:sz="8" w:space="0" w:color="000000"/>
            </w:tcBorders>
            <w:shd w:fill="FFFFFF" w:val="clear"/>
            <w:vAlign w:val="center"/>
          </w:tcPr>
          <w:p>
            <w:pPr>
              <w:pStyle w:val="TableContents"/>
              <w:bidi w:val="0"/>
              <w:spacing w:before="0" w:after="283"/>
              <w:jc w:val="left"/>
              <w:rPr/>
            </w:pPr>
            <w:r>
              <w:rPr/>
              <w:t> </w:t>
            </w:r>
            <w:bookmarkStart w:id="453" w:name="xdx_98E_eus-gaap--StateAndLocalIncomeTax"/>
            <w:bookmarkEnd w:id="453"/>
          </w:p>
        </w:tc>
        <w:tc>
          <w:tcPr>
            <w:tcW w:w="87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42,326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673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4" w:name="xdx_984_eus-gaap--CurrentIncomeTaxExpens"/>
            <w:bookmarkEnd w:id="454"/>
          </w:p>
        </w:tc>
        <w:tc>
          <w:tcPr>
            <w:tcW w:w="8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bottom w:val="double" w:sz="6" w:space="0" w:color="000000"/>
            </w:tcBorders>
            <w:shd w:fill="CCEEFF" w:val="clear"/>
            <w:vAlign w:val="center"/>
          </w:tcPr>
          <w:p>
            <w:pPr>
              <w:pStyle w:val="TableContents"/>
              <w:bidi w:val="0"/>
              <w:spacing w:before="0" w:after="283"/>
              <w:jc w:val="left"/>
              <w:rPr/>
            </w:pPr>
            <w:r>
              <w:rPr/>
              <w:t> </w:t>
            </w:r>
            <w:bookmarkStart w:id="455" w:name="xdx_984_eus-gaap--DeferredIncomeTaxExpen"/>
            <w:bookmarkEnd w:id="455"/>
          </w:p>
        </w:tc>
        <w:tc>
          <w:tcPr>
            <w:tcW w:w="87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238,899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6" w:name="xdx_984_eus-gaap--IncomeTaxExpenseBenefi"/>
            <w:bookmarkEnd w:id="456"/>
          </w:p>
        </w:tc>
        <w:tc>
          <w:tcPr>
            <w:tcW w:w="87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281,419</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457" w:name="xdx_8A2_zpCd4oaJgPZj"/>
      <w:bookmarkEnd w:id="45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paid, were $</w:t>
      </w:r>
      <w:bookmarkStart w:id="458" w:name="xdx_90C_eus-gaap--IncomeTaxesPaidNet_c20"/>
      <w:bookmarkEnd w:id="458"/>
      <w:r>
        <w:rPr>
          <w:rFonts w:ascii="Times New Roman;Times;Serif" w:hAnsi="Times New Roman;Times;Serif"/>
          <w:b w:val="false"/>
          <w:i w:val="false"/>
          <w:caps w:val="false"/>
          <w:smallCaps w:val="false"/>
          <w:sz w:val="20"/>
        </w:rPr>
        <w:t>2,630 for the three months ended March 31, 2026. Such payments consisted of state income tax payments to Connecticut, Minnesota, New York and Pennsylvania.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paid, were $</w:t>
      </w:r>
      <w:bookmarkStart w:id="459" w:name="xdx_90C_eus-gaap--IncomeTaxesPaidNet_c20"/>
      <w:bookmarkEnd w:id="459"/>
      <w:r>
        <w:rPr>
          <w:rFonts w:ascii="Times New Roman;Times;Serif" w:hAnsi="Times New Roman;Times;Serif"/>
          <w:b w:val="false"/>
          <w:i w:val="false"/>
          <w:caps w:val="false"/>
          <w:smallCaps w:val="false"/>
          <w:sz w:val="20"/>
        </w:rPr>
        <w:t>6,230 for the three months ended March 31, 2025. Such payments consisted of state income tax payments to Minnesota, Massachusetts, Pennsylvania, Connecticut and New York.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460" w:name="xdx_896_eus-gaap--ScheduleOfDeferredTaxA"/>
      <w:bookmarkEnd w:id="460"/>
      <w:r>
        <w:rPr>
          <w:rFonts w:ascii="Times New Roman;Times;Serif" w:hAnsi="Times New Roman;Times;Serif"/>
          <w:b w:val="false"/>
          <w:i w:val="false"/>
          <w:caps w:val="false"/>
          <w:smallCaps w:val="false"/>
          <w:sz w:val="20"/>
        </w:rPr>
        <w:t>The tax effects of temporary differences that give rise to significant portions of the deferred tax assets as of March 31, 2026 and December 31, 2025 were as follows: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1" w:name="xdx_8BC_z76sWuL1ylQl"/>
      <w:bookmarkEnd w:id="461"/>
      <w:r>
        <w:rPr>
          <w:rFonts w:ascii="Times New Roman;Times;Serif" w:hAnsi="Times New Roman;Times;Serif"/>
          <w:b w:val="false"/>
          <w:i w:val="false"/>
          <w:caps w:val="false"/>
          <w:smallCaps w:val="false"/>
          <w:sz w:val="20"/>
        </w:rPr>
        <w:t>Schedule of Deferred Tax Assets and Liabilities</w:t>
      </w:r>
    </w:p>
    <w:tbl>
      <w:tblPr>
        <w:tblW w:w="6988" w:type="dxa"/>
        <w:jc w:val="left"/>
        <w:tblInd w:w="0" w:type="dxa"/>
        <w:tblLayout w:type="fixed"/>
        <w:tblCellMar>
          <w:top w:w="0" w:type="dxa"/>
          <w:left w:w="0" w:type="dxa"/>
          <w:bottom w:w="28" w:type="dxa"/>
          <w:right w:w="0" w:type="dxa"/>
        </w:tblCellMar>
      </w:tblPr>
      <w:tblGrid>
        <w:gridCol w:w="3170"/>
        <w:gridCol w:w="60"/>
        <w:gridCol w:w="239"/>
        <w:gridCol w:w="1370"/>
        <w:gridCol w:w="60"/>
        <w:gridCol w:w="60"/>
        <w:gridCol w:w="290"/>
        <w:gridCol w:w="1664"/>
        <w:gridCol w:w="75"/>
      </w:tblGrid>
      <w:tr>
        <w:trPr/>
        <w:tc>
          <w:tcPr>
            <w:tcW w:w="31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Assets Summary</w:t>
            </w:r>
          </w:p>
        </w:tc>
        <w:tc>
          <w:tcPr>
            <w:tcW w:w="60" w:type="dxa"/>
            <w:tcBorders/>
            <w:tcMar>
              <w:bottom w:w="0" w:type="dxa"/>
            </w:tcMar>
            <w:vAlign w:val="center"/>
          </w:tcPr>
          <w:p>
            <w:pPr>
              <w:pStyle w:val="TableContents"/>
              <w:bidi w:val="0"/>
              <w:spacing w:before="0" w:after="283"/>
              <w:jc w:val="left"/>
              <w:rPr/>
            </w:pPr>
            <w:r>
              <w:rPr/>
              <w:t> </w:t>
            </w:r>
          </w:p>
        </w:tc>
        <w:tc>
          <w:tcPr>
            <w:tcW w:w="16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tcMar>
              <w:bottom w:w="0" w:type="dxa"/>
            </w:tcMar>
            <w:vAlign w:val="center"/>
          </w:tcPr>
          <w:p>
            <w:pPr>
              <w:pStyle w:val="TableContents"/>
              <w:bidi w:val="0"/>
              <w:spacing w:before="0" w:after="283"/>
              <w:jc w:val="left"/>
              <w:rPr/>
            </w:pPr>
            <w:r>
              <w:rPr/>
              <w:t> </w:t>
            </w:r>
            <w:bookmarkStart w:id="462" w:name="xdx_406_eus-gaap--DeferredTaxAssetsLiabi"/>
            <w:bookmarkEnd w:id="462"/>
          </w:p>
        </w:tc>
      </w:tr>
      <w:tr>
        <w:trPr/>
        <w:tc>
          <w:tcPr>
            <w:tcW w:w="3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520,464</w:t>
            </w:r>
          </w:p>
        </w:tc>
        <w:tc>
          <w:tcPr>
            <w:tcW w:w="75" w:type="dxa"/>
            <w:tcBorders/>
            <w:shd w:fill="CCEEFF" w:val="clear"/>
            <w:tcMar>
              <w:bottom w:w="0" w:type="dxa"/>
            </w:tcMar>
            <w:vAlign w:val="center"/>
          </w:tcPr>
          <w:p>
            <w:pPr>
              <w:pStyle w:val="TableContents"/>
              <w:bidi w:val="0"/>
              <w:spacing w:before="0" w:after="283"/>
              <w:jc w:val="left"/>
              <w:rPr/>
            </w:pPr>
            <w:r>
              <w:rPr/>
              <w:t> </w:t>
            </w:r>
            <w:bookmarkStart w:id="463" w:name="xdx_405_eus-gaap--DeferredTaxAssetsLiabi"/>
            <w:bookmarkEnd w:id="463"/>
          </w:p>
        </w:tc>
      </w:tr>
      <w:tr>
        <w:trPr/>
        <w:tc>
          <w:tcPr>
            <w:tcW w:w="31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c>
          <w:tcPr>
            <w:tcW w:w="166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71,357</w:t>
            </w:r>
          </w:p>
        </w:tc>
        <w:tc>
          <w:tcPr>
            <w:tcW w:w="75" w:type="dxa"/>
            <w:tcBorders/>
            <w:shd w:fill="FFFFFF" w:val="clear"/>
            <w:tcMar>
              <w:bottom w:w="0" w:type="dxa"/>
            </w:tcMar>
            <w:vAlign w:val="center"/>
          </w:tcPr>
          <w:p>
            <w:pPr>
              <w:pStyle w:val="TableContents"/>
              <w:bidi w:val="0"/>
              <w:spacing w:before="0" w:after="283"/>
              <w:jc w:val="left"/>
              <w:rPr/>
            </w:pPr>
            <w:r>
              <w:rPr/>
              <w:t> </w:t>
            </w:r>
            <w:bookmarkStart w:id="464" w:name="xdx_404_eus-gaap--DeferredTaxAssetsLiabi"/>
            <w:bookmarkEnd w:id="464"/>
          </w:p>
        </w:tc>
      </w:tr>
      <w:tr>
        <w:trPr/>
        <w:tc>
          <w:tcPr>
            <w:tcW w:w="3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(non-U.S.)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bottom w:val="single" w:sz="8" w:space="0" w:color="000000"/>
            </w:tcBorders>
            <w:shd w:fill="CCEEFF" w:val="clear"/>
            <w:vAlign w:val="center"/>
          </w:tcPr>
          <w:p>
            <w:pPr>
              <w:pStyle w:val="TableContents"/>
              <w:bidi w:val="0"/>
              <w:spacing w:before="0" w:after="283"/>
              <w:jc w:val="left"/>
              <w:rPr/>
            </w:pPr>
            <w:r>
              <w:rPr/>
              <w:t> </w:t>
            </w:r>
          </w:p>
        </w:tc>
        <w:tc>
          <w:tcPr>
            <w:tcW w:w="137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bottom w:val="single" w:sz="8" w:space="0" w:color="000000"/>
            </w:tcBorders>
            <w:shd w:fill="CCEEFF" w:val="clear"/>
            <w:vAlign w:val="center"/>
          </w:tcPr>
          <w:p>
            <w:pPr>
              <w:pStyle w:val="TableContents"/>
              <w:bidi w:val="0"/>
              <w:spacing w:before="0" w:after="283"/>
              <w:jc w:val="left"/>
              <w:rPr/>
            </w:pPr>
            <w:r>
              <w:rPr/>
              <w:t> </w:t>
            </w:r>
          </w:p>
        </w:tc>
        <w:tc>
          <w:tcPr>
            <w:tcW w:w="166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18,143</w:t>
            </w:r>
          </w:p>
        </w:tc>
        <w:tc>
          <w:tcPr>
            <w:tcW w:w="75" w:type="dxa"/>
            <w:tcBorders/>
            <w:shd w:fill="CCEEFF" w:val="clear"/>
            <w:tcMar>
              <w:bottom w:w="0" w:type="dxa"/>
            </w:tcMar>
            <w:vAlign w:val="center"/>
          </w:tcPr>
          <w:p>
            <w:pPr>
              <w:pStyle w:val="TableContents"/>
              <w:bidi w:val="0"/>
              <w:spacing w:before="0" w:after="283"/>
              <w:jc w:val="left"/>
              <w:rPr/>
            </w:pPr>
            <w:r>
              <w:rPr/>
              <w:t> </w:t>
            </w:r>
            <w:bookmarkStart w:id="465" w:name="xdx_406_eus-gaap--DeferredTaxAssetsLiabi"/>
            <w:bookmarkEnd w:id="465"/>
          </w:p>
        </w:tc>
      </w:tr>
      <w:tr>
        <w:trPr/>
        <w:tc>
          <w:tcPr>
            <w:tcW w:w="31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398,429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609,964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573" w:type="dxa"/>
        <w:jc w:val="left"/>
        <w:tblInd w:w="0" w:type="dxa"/>
        <w:tblLayout w:type="fixed"/>
        <w:tblCellMar>
          <w:top w:w="0" w:type="dxa"/>
          <w:left w:w="0" w:type="dxa"/>
          <w:bottom w:w="28" w:type="dxa"/>
          <w:right w:w="0" w:type="dxa"/>
        </w:tblCellMar>
      </w:tblPr>
      <w:tblGrid>
        <w:gridCol w:w="3755"/>
        <w:gridCol w:w="60"/>
        <w:gridCol w:w="239"/>
        <w:gridCol w:w="1370"/>
        <w:gridCol w:w="60"/>
        <w:gridCol w:w="60"/>
        <w:gridCol w:w="290"/>
        <w:gridCol w:w="1664"/>
        <w:gridCol w:w="75"/>
      </w:tblGrid>
      <w:tr>
        <w:trPr/>
        <w:tc>
          <w:tcPr>
            <w:tcW w:w="375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Assets Summary</w:t>
            </w:r>
          </w:p>
        </w:tc>
        <w:tc>
          <w:tcPr>
            <w:tcW w:w="60" w:type="dxa"/>
            <w:tcBorders/>
            <w:tcMar>
              <w:bottom w:w="0" w:type="dxa"/>
            </w:tcMar>
            <w:vAlign w:val="center"/>
          </w:tcPr>
          <w:p>
            <w:pPr>
              <w:pStyle w:val="TableContents"/>
              <w:bidi w:val="0"/>
              <w:spacing w:before="0" w:after="283"/>
              <w:jc w:val="left"/>
              <w:rPr/>
            </w:pPr>
            <w:r>
              <w:rPr/>
              <w:t> </w:t>
            </w:r>
          </w:p>
        </w:tc>
        <w:tc>
          <w:tcPr>
            <w:tcW w:w="16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tcMar>
              <w:bottom w:w="0" w:type="dxa"/>
            </w:tcMar>
            <w:vAlign w:val="center"/>
          </w:tcPr>
          <w:p>
            <w:pPr>
              <w:pStyle w:val="TableContents"/>
              <w:bidi w:val="0"/>
              <w:spacing w:before="0" w:after="283"/>
              <w:jc w:val="left"/>
              <w:rPr/>
            </w:pPr>
            <w:r>
              <w:rPr/>
              <w:t> </w:t>
            </w:r>
            <w:bookmarkStart w:id="466" w:name="xdx_408_ecustom--DeferredTaxAssetsOperat"/>
            <w:bookmarkEnd w:id="466"/>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 of use lease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1,574</w:t>
            </w:r>
          </w:p>
        </w:tc>
        <w:tc>
          <w:tcPr>
            <w:tcW w:w="75" w:type="dxa"/>
            <w:tcBorders/>
            <w:shd w:fill="CCEEFF" w:val="clear"/>
            <w:tcMar>
              <w:bottom w:w="0" w:type="dxa"/>
            </w:tcMar>
            <w:vAlign w:val="center"/>
          </w:tcPr>
          <w:p>
            <w:pPr>
              <w:pStyle w:val="TableContents"/>
              <w:bidi w:val="0"/>
              <w:spacing w:before="0" w:after="283"/>
              <w:jc w:val="left"/>
              <w:rPr/>
            </w:pPr>
            <w:r>
              <w:rPr/>
              <w:t> </w:t>
            </w:r>
            <w:bookmarkStart w:id="467" w:name="xdx_409_eus-gaap--DeferredTaxAssetsInven"/>
            <w:bookmarkEnd w:id="467"/>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 allowance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c>
          <w:tcPr>
            <w:tcW w:w="166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112,518</w:t>
            </w:r>
          </w:p>
        </w:tc>
        <w:tc>
          <w:tcPr>
            <w:tcW w:w="75" w:type="dxa"/>
            <w:tcBorders/>
            <w:shd w:fill="FFFFFF" w:val="clear"/>
            <w:tcMar>
              <w:bottom w:w="0" w:type="dxa"/>
            </w:tcMar>
            <w:vAlign w:val="center"/>
          </w:tcPr>
          <w:p>
            <w:pPr>
              <w:pStyle w:val="TableContents"/>
              <w:bidi w:val="0"/>
              <w:spacing w:before="0" w:after="283"/>
              <w:jc w:val="left"/>
              <w:rPr/>
            </w:pPr>
            <w:r>
              <w:rPr/>
              <w:t> </w:t>
            </w:r>
            <w:bookmarkStart w:id="468" w:name="xdx_40D_eus-gaap--OperatingLossCarryforw"/>
            <w:bookmarkEnd w:id="468"/>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carry forward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bottom w:val="single" w:sz="8" w:space="0" w:color="000000"/>
            </w:tcBorders>
            <w:shd w:fill="CCEEFF" w:val="clear"/>
            <w:vAlign w:val="center"/>
          </w:tcPr>
          <w:p>
            <w:pPr>
              <w:pStyle w:val="TableContents"/>
              <w:bidi w:val="0"/>
              <w:spacing w:before="0" w:after="283"/>
              <w:jc w:val="left"/>
              <w:rPr/>
            </w:pPr>
            <w:r>
              <w:rPr/>
              <w:t> </w:t>
            </w:r>
          </w:p>
        </w:tc>
        <w:tc>
          <w:tcPr>
            <w:tcW w:w="137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bottom w:val="single" w:sz="8" w:space="0" w:color="000000"/>
            </w:tcBorders>
            <w:shd w:fill="CCEEFF" w:val="clear"/>
            <w:vAlign w:val="center"/>
          </w:tcPr>
          <w:p>
            <w:pPr>
              <w:pStyle w:val="TableContents"/>
              <w:bidi w:val="0"/>
              <w:spacing w:before="0" w:after="283"/>
              <w:jc w:val="left"/>
              <w:rPr/>
            </w:pPr>
            <w:r>
              <w:rPr/>
              <w:t> </w:t>
            </w:r>
          </w:p>
        </w:tc>
        <w:tc>
          <w:tcPr>
            <w:tcW w:w="166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495,872</w:t>
            </w:r>
          </w:p>
        </w:tc>
        <w:tc>
          <w:tcPr>
            <w:tcW w:w="75" w:type="dxa"/>
            <w:tcBorders/>
            <w:shd w:fill="CCEEFF" w:val="clear"/>
            <w:tcMar>
              <w:bottom w:w="0" w:type="dxa"/>
            </w:tcMar>
            <w:vAlign w:val="center"/>
          </w:tcPr>
          <w:p>
            <w:pPr>
              <w:pStyle w:val="TableContents"/>
              <w:bidi w:val="0"/>
              <w:spacing w:before="0" w:after="283"/>
              <w:jc w:val="left"/>
              <w:rPr/>
            </w:pPr>
            <w:r>
              <w:rPr/>
              <w:t> </w:t>
            </w:r>
            <w:bookmarkStart w:id="469" w:name="xdx_404_eus-gaap--DeferredTaxAssetsNet_i"/>
            <w:bookmarkEnd w:id="469"/>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398,429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609,964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470" w:name="xdx_8A9_zxf7gBGq9Ixh"/>
      <w:bookmarkEnd w:id="47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files income tax return in the U.S. federal jurisdiction and various state jurisdictions. Based on management’s evaluation, there is </w:t>
      </w:r>
      <w:bookmarkStart w:id="471" w:name="xdx_903_eus-gaap--LiabilityForUncertainT"/>
      <w:bookmarkStart w:id="472" w:name="xdx_900_eus-gaap--LiabilityForUncertainT"/>
      <w:bookmarkEnd w:id="471"/>
      <w:bookmarkEnd w:id="472"/>
      <w:r>
        <w:rPr>
          <w:rFonts w:ascii="Times New Roman;Times;Serif" w:hAnsi="Times New Roman;Times;Serif"/>
          <w:b w:val="false"/>
          <w:i w:val="false"/>
          <w:caps w:val="false"/>
          <w:smallCaps w:val="false"/>
          <w:sz w:val="20"/>
        </w:rPr>
        <w:t>no provision necessary for material uncertain tax position for the Company as of March 31, 2026 and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for the year ended December 31, 2025, the Company reported net operating income of $</w:t>
      </w:r>
      <w:bookmarkStart w:id="473" w:name="xdx_90B_eus-gaap--OtherOperatingIncomeEx"/>
      <w:bookmarkEnd w:id="473"/>
      <w:r>
        <w:rPr>
          <w:rFonts w:ascii="Times New Roman;Times;Serif" w:hAnsi="Times New Roman;Times;Serif"/>
          <w:b w:val="false"/>
          <w:i w:val="false"/>
          <w:caps w:val="false"/>
          <w:smallCaps w:val="false"/>
          <w:sz w:val="20"/>
        </w:rPr>
        <w:t>823,482 and $</w:t>
      </w:r>
      <w:bookmarkStart w:id="474" w:name="xdx_908_eus-gaap--OtherOperatingIncomeEx"/>
      <w:bookmarkEnd w:id="474"/>
      <w:r>
        <w:rPr>
          <w:rFonts w:ascii="Times New Roman;Times;Serif" w:hAnsi="Times New Roman;Times;Serif"/>
          <w:b w:val="false"/>
          <w:i w:val="false"/>
          <w:caps w:val="false"/>
          <w:smallCaps w:val="false"/>
          <w:sz w:val="20"/>
        </w:rPr>
        <w:t xml:space="preserve">1,704,849, respectively. The net operating loss carryforward is not subject to any expiration period under federal regulations, while at the state level, the expiration period usually ranges up to </w:t>
      </w:r>
      <w:bookmarkStart w:id="475" w:name="xdx_909_ecustom--OperatingLossCarryForwa"/>
      <w:bookmarkEnd w:id="475"/>
      <w:r>
        <w:rPr>
          <w:rFonts w:ascii="Times New Roman;Times;Serif" w:hAnsi="Times New Roman;Times;Serif"/>
          <w:b w:val="false"/>
          <w:i w:val="false"/>
          <w:caps w:val="false"/>
          <w:smallCaps w:val="false"/>
          <w:sz w:val="20"/>
        </w:rPr>
        <w:t>20 years, or there may be no expiration period at all.</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generate sufficient taxable income in future periods against which the deferred tax assets can be utilized. Accordingly, a valuation allowance may not be needed.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76" w:name="xdx_806_eus-gaap--StockholdersEquityNote"/>
      <w:bookmarkEnd w:id="476"/>
      <w:r>
        <w:rPr>
          <w:rFonts w:ascii="Times New Roman;Times;Serif" w:hAnsi="Times New Roman;Times;Serif"/>
          <w:b/>
          <w:i w:val="false"/>
          <w:caps w:val="false"/>
          <w:smallCaps w:val="false"/>
          <w:sz w:val="20"/>
        </w:rPr>
        <w:t xml:space="preserve">NOTE 13 - </w:t>
      </w:r>
      <w:bookmarkStart w:id="477" w:name="xdx_82B_zxk7DAt6Srs9"/>
      <w:bookmarkEnd w:id="477"/>
      <w:r>
        <w:rPr>
          <w:rFonts w:ascii="Times New Roman;Times;Serif" w:hAnsi="Times New Roman;Times;Serif"/>
          <w:b/>
          <w:i w:val="false"/>
          <w:caps w:val="false"/>
          <w:smallCaps w:val="false"/>
          <w:sz w:val="20"/>
        </w:rPr>
        <w:t>Stockholders’ Equity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the Company had </w:t>
      </w:r>
      <w:bookmarkStart w:id="478" w:name="xdx_907_eus-gaap--PreferredStockSharesAu"/>
      <w:bookmarkStart w:id="479" w:name="xdx_909_eus-gaap--PreferredStockSharesAu"/>
      <w:bookmarkEnd w:id="478"/>
      <w:bookmarkEnd w:id="479"/>
      <w:r>
        <w:rPr>
          <w:rFonts w:ascii="Times New Roman;Times;Serif" w:hAnsi="Times New Roman;Times;Serif"/>
          <w:b w:val="false"/>
          <w:i w:val="false"/>
          <w:caps w:val="false"/>
          <w:smallCaps w:val="false"/>
          <w:sz w:val="20"/>
        </w:rPr>
        <w:t>10,000,000 shares of preferred stock, $</w:t>
      </w:r>
      <w:bookmarkStart w:id="480" w:name="xdx_90B_eus-gaap--PreferredStockParOrSta"/>
      <w:bookmarkStart w:id="481" w:name="xdx_90C_eus-gaap--PreferredStockParOrSta"/>
      <w:bookmarkEnd w:id="480"/>
      <w:bookmarkEnd w:id="481"/>
      <w:r>
        <w:rPr>
          <w:rFonts w:ascii="Times New Roman;Times;Serif" w:hAnsi="Times New Roman;Times;Serif"/>
          <w:b w:val="false"/>
          <w:i w:val="false"/>
          <w:caps w:val="false"/>
          <w:smallCaps w:val="false"/>
          <w:sz w:val="20"/>
        </w:rPr>
        <w:t xml:space="preserve">0.0001 par value per share, authorized. The Company did </w:t>
      </w:r>
      <w:bookmarkStart w:id="482" w:name="xdx_900_eus-gaap--PreferredStockSharesOu"/>
      <w:bookmarkStart w:id="483" w:name="xdx_90C_eus-gaap--PreferredStockSharesIs"/>
      <w:bookmarkStart w:id="484" w:name="xdx_908_eus-gaap--PreferredStockSharesOu"/>
      <w:bookmarkStart w:id="485" w:name="xdx_90D_eus-gaap--PreferredStockSharesIs"/>
      <w:bookmarkEnd w:id="482"/>
      <w:bookmarkEnd w:id="483"/>
      <w:bookmarkEnd w:id="484"/>
      <w:bookmarkEnd w:id="485"/>
      <w:r>
        <w:rPr>
          <w:rFonts w:ascii="Times New Roman;Times;Serif" w:hAnsi="Times New Roman;Times;Serif"/>
          <w:b w:val="false"/>
          <w:i w:val="false"/>
          <w:caps w:val="false"/>
          <w:smallCaps w:val="false"/>
          <w:sz w:val="20"/>
        </w:rPr>
        <w:t>not have any preferred shares issued and outstanding as of March 31, 2026 and December 31, 2025. The holders of the preferred stock are entitled to receive dividends, if and when declared by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the Company had </w:t>
      </w:r>
      <w:bookmarkStart w:id="486" w:name="xdx_900_eus-gaap--CommonStockSharesAutho"/>
      <w:bookmarkStart w:id="487" w:name="xdx_900_eus-gaap--CommonStockSharesAutho"/>
      <w:bookmarkEnd w:id="486"/>
      <w:bookmarkEnd w:id="487"/>
      <w:r>
        <w:rPr>
          <w:rFonts w:ascii="Times New Roman;Times;Serif" w:hAnsi="Times New Roman;Times;Serif"/>
          <w:b w:val="false"/>
          <w:i w:val="false"/>
          <w:caps w:val="false"/>
          <w:smallCaps w:val="false"/>
          <w:sz w:val="20"/>
        </w:rPr>
        <w:t>300,000,000 shares of common stock, $</w:t>
      </w:r>
      <w:bookmarkStart w:id="488" w:name="xdx_906_eus-gaap--CommonStockParOrStated"/>
      <w:bookmarkStart w:id="489" w:name="xdx_905_eus-gaap--CommonStockParOrStated"/>
      <w:bookmarkEnd w:id="488"/>
      <w:bookmarkEnd w:id="489"/>
      <w:r>
        <w:rPr>
          <w:rFonts w:ascii="Times New Roman;Times;Serif" w:hAnsi="Times New Roman;Times;Serif"/>
          <w:b w:val="false"/>
          <w:i w:val="false"/>
          <w:caps w:val="false"/>
          <w:smallCaps w:val="false"/>
          <w:sz w:val="20"/>
        </w:rPr>
        <w:t xml:space="preserve">0.0001 par value per share, authorized. As of March 31, 2026 and December 31, 2025, there were </w:t>
      </w:r>
      <w:bookmarkStart w:id="490" w:name="xdx_90F_eus-gaap--CommonStockSharesOutst"/>
      <w:bookmarkStart w:id="491" w:name="xdx_907_eus-gaap--CommonStockSharesIssue"/>
      <w:bookmarkEnd w:id="490"/>
      <w:bookmarkEnd w:id="491"/>
      <w:r>
        <w:rPr>
          <w:rFonts w:ascii="Times New Roman;Times;Serif" w:hAnsi="Times New Roman;Times;Serif"/>
          <w:b w:val="false"/>
          <w:i w:val="false"/>
          <w:caps w:val="false"/>
          <w:smallCaps w:val="false"/>
          <w:sz w:val="20"/>
        </w:rPr>
        <w:t xml:space="preserve">35,183,890 and </w:t>
      </w:r>
      <w:bookmarkStart w:id="492" w:name="xdx_90B_eus-gaap--CommonStockSharesOutst"/>
      <w:bookmarkStart w:id="493" w:name="xdx_90C_eus-gaap--CommonStockSharesIssue"/>
      <w:bookmarkEnd w:id="492"/>
      <w:bookmarkEnd w:id="493"/>
      <w:r>
        <w:rPr>
          <w:rFonts w:ascii="Times New Roman;Times;Serif" w:hAnsi="Times New Roman;Times;Serif"/>
          <w:b w:val="false"/>
          <w:i w:val="false"/>
          <w:caps w:val="false"/>
          <w:smallCaps w:val="false"/>
          <w:sz w:val="20"/>
        </w:rPr>
        <w:t>35,176,320 shares of common stock issued and outstanding,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Issuances for Stock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 2025, the Company issued </w:t>
      </w:r>
      <w:bookmarkStart w:id="494" w:name="xdx_908_eus-gaap--SharesIssued_iI_pid_c2"/>
      <w:bookmarkStart w:id="495" w:name="xdx_905_eus-gaap--SharesIssued_iI_pid_c2"/>
      <w:bookmarkStart w:id="496" w:name="xdx_909_eus-gaap--SharesIssued_iI_pid_c2"/>
      <w:bookmarkStart w:id="497" w:name="xdx_902_eus-gaap--SharesIssued_iI_pid_c2"/>
      <w:bookmarkStart w:id="498" w:name="xdx_90A_eus-gaap--SharesIssued_iI_pid_c2"/>
      <w:bookmarkEnd w:id="494"/>
      <w:bookmarkEnd w:id="495"/>
      <w:bookmarkEnd w:id="496"/>
      <w:bookmarkEnd w:id="497"/>
      <w:bookmarkEnd w:id="498"/>
      <w:r>
        <w:rPr>
          <w:rFonts w:ascii="Times New Roman;Times;Serif" w:hAnsi="Times New Roman;Times;Serif"/>
          <w:b w:val="false"/>
          <w:i w:val="false"/>
          <w:caps w:val="false"/>
          <w:smallCaps w:val="false"/>
          <w:sz w:val="20"/>
        </w:rPr>
        <w:t>1,596 shares of Company common stock to each of Sam Lai, Maggie Yu, Michael Lenner, Alan Gao and Hillary Bui, with a fair market value of $</w:t>
      </w:r>
      <w:bookmarkStart w:id="499" w:name="xdx_90D_eus-gaap--SharesIssuedPricePerSh"/>
      <w:bookmarkStart w:id="500" w:name="xdx_900_eus-gaap--SharesIssuedPricePerSh"/>
      <w:bookmarkStart w:id="501" w:name="xdx_90C_eus-gaap--SharesIssuedPricePerSh"/>
      <w:bookmarkStart w:id="502" w:name="xdx_90D_eus-gaap--SharesIssuedPricePerSh"/>
      <w:bookmarkStart w:id="503" w:name="xdx_907_eus-gaap--SharesIssuedPricePerSh"/>
      <w:bookmarkEnd w:id="499"/>
      <w:bookmarkEnd w:id="500"/>
      <w:bookmarkEnd w:id="501"/>
      <w:bookmarkEnd w:id="502"/>
      <w:bookmarkEnd w:id="503"/>
      <w:r>
        <w:rPr>
          <w:rFonts w:ascii="Times New Roman;Times;Serif" w:hAnsi="Times New Roman;Times;Serif"/>
          <w:b w:val="false"/>
          <w:i w:val="false"/>
          <w:caps w:val="false"/>
          <w:smallCaps w:val="false"/>
          <w:sz w:val="20"/>
        </w:rPr>
        <w:t>1.8799 per share as compensation for the services as executives or directors of the Company pursuant to the terms of their respective Executive Employment Agreements or Director Agreements with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2025, the Company issued </w:t>
      </w:r>
      <w:bookmarkStart w:id="504" w:name="xdx_90C_eus-gaap--SharesIssued_iI_pid_c2"/>
      <w:bookmarkStart w:id="505" w:name="xdx_900_eus-gaap--SharesIssued_iI_pid_c2"/>
      <w:bookmarkStart w:id="506" w:name="xdx_90B_eus-gaap--SharesIssued_iI_pid_c2"/>
      <w:bookmarkStart w:id="507" w:name="xdx_90D_eus-gaap--SharesIssued_iI_pid_c2"/>
      <w:bookmarkStart w:id="508" w:name="xdx_90C_eus-gaap--SharesIssued_iI_pid_c2"/>
      <w:bookmarkEnd w:id="504"/>
      <w:bookmarkEnd w:id="505"/>
      <w:bookmarkEnd w:id="506"/>
      <w:bookmarkEnd w:id="507"/>
      <w:bookmarkEnd w:id="508"/>
      <w:r>
        <w:rPr>
          <w:rFonts w:ascii="Times New Roman;Times;Serif" w:hAnsi="Times New Roman;Times;Serif"/>
          <w:b w:val="false"/>
          <w:i w:val="false"/>
          <w:caps w:val="false"/>
          <w:smallCaps w:val="false"/>
          <w:sz w:val="20"/>
        </w:rPr>
        <w:t>1,750 shares of Company common stock to each of Sam Lai, Maggie Yu, Michael Lenner, Alan Gao and Hillary Bui, with a fair market value of $</w:t>
      </w:r>
      <w:bookmarkStart w:id="509" w:name="xdx_907_eus-gaap--SharesIssuedPricePerSh"/>
      <w:bookmarkStart w:id="510" w:name="xdx_90F_eus-gaap--SharesIssuedPricePerSh"/>
      <w:bookmarkStart w:id="511" w:name="xdx_90E_eus-gaap--SharesIssuedPricePerSh"/>
      <w:bookmarkStart w:id="512" w:name="xdx_908_eus-gaap--SharesIssuedPricePerSh"/>
      <w:bookmarkStart w:id="513" w:name="xdx_902_eus-gaap--SharesIssuedPricePerSh"/>
      <w:bookmarkEnd w:id="509"/>
      <w:bookmarkEnd w:id="510"/>
      <w:bookmarkEnd w:id="511"/>
      <w:bookmarkEnd w:id="512"/>
      <w:bookmarkEnd w:id="513"/>
      <w:r>
        <w:rPr>
          <w:rFonts w:ascii="Times New Roman;Times;Serif" w:hAnsi="Times New Roman;Times;Serif"/>
          <w:b w:val="false"/>
          <w:i w:val="false"/>
          <w:caps w:val="false"/>
          <w:smallCaps w:val="false"/>
          <w:sz w:val="20"/>
        </w:rPr>
        <w:t>1.7140 per share as compensation for the services as executives or directors of the Company pursuant to the terms of their respective Executive Employment Agreements or Director Agreements with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 2025, the Company issued </w:t>
      </w:r>
      <w:bookmarkStart w:id="514" w:name="xdx_907_eus-gaap--SharesIssued_iI_pid_c2"/>
      <w:bookmarkStart w:id="515" w:name="xdx_906_eus-gaap--SharesIssued_iI_pid_c2"/>
      <w:bookmarkStart w:id="516" w:name="xdx_908_eus-gaap--SharesIssued_iI_pid_c2"/>
      <w:bookmarkStart w:id="517" w:name="xdx_90D_eus-gaap--SharesIssued_iI_pid_c2"/>
      <w:bookmarkStart w:id="518" w:name="xdx_906_eus-gaap--SharesIssued_iI_pid_c2"/>
      <w:bookmarkEnd w:id="514"/>
      <w:bookmarkEnd w:id="515"/>
      <w:bookmarkEnd w:id="516"/>
      <w:bookmarkEnd w:id="517"/>
      <w:bookmarkEnd w:id="518"/>
      <w:r>
        <w:rPr>
          <w:rFonts w:ascii="Times New Roman;Times;Serif" w:hAnsi="Times New Roman;Times;Serif"/>
          <w:b w:val="false"/>
          <w:i w:val="false"/>
          <w:caps w:val="false"/>
          <w:smallCaps w:val="false"/>
          <w:sz w:val="20"/>
        </w:rPr>
        <w:t>2,275 shares of Company common stock to each of Sam Lai, Maggie Yu, Michael Lenner, Alan Gao and Hillary Bui, with a fair market value of $</w:t>
      </w:r>
      <w:bookmarkStart w:id="519" w:name="xdx_907_eus-gaap--SharesIssuedPricePerSh"/>
      <w:bookmarkStart w:id="520" w:name="xdx_90F_eus-gaap--SharesIssuedPricePerSh"/>
      <w:bookmarkStart w:id="521" w:name="xdx_90C_eus-gaap--SharesIssuedPricePerSh"/>
      <w:bookmarkStart w:id="522" w:name="xdx_906_eus-gaap--SharesIssuedPricePerSh"/>
      <w:bookmarkStart w:id="523" w:name="xdx_906_eus-gaap--SharesIssuedPricePerSh"/>
      <w:bookmarkEnd w:id="519"/>
      <w:bookmarkEnd w:id="520"/>
      <w:bookmarkEnd w:id="521"/>
      <w:bookmarkEnd w:id="522"/>
      <w:bookmarkEnd w:id="523"/>
      <w:r>
        <w:rPr>
          <w:rFonts w:ascii="Times New Roman;Times;Serif" w:hAnsi="Times New Roman;Times;Serif"/>
          <w:b w:val="false"/>
          <w:i w:val="false"/>
          <w:caps w:val="false"/>
          <w:smallCaps w:val="false"/>
          <w:sz w:val="20"/>
        </w:rPr>
        <w:t>1.3185 per share as compensation for the services as executives or directors of the Company pursuant to the terms of their respective Executive Employment Agreements or Director Agreements with the Company.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 2025, the Company issued </w:t>
      </w:r>
      <w:bookmarkStart w:id="524" w:name="xdx_90B_eus-gaap--SharesIssued_iI_pid_c2"/>
      <w:bookmarkStart w:id="525" w:name="xdx_90F_eus-gaap--SharesIssued_iI_pid_c2"/>
      <w:bookmarkStart w:id="526" w:name="xdx_905_eus-gaap--SharesIssued_iI_pid_c2"/>
      <w:bookmarkStart w:id="527" w:name="xdx_90F_eus-gaap--SharesIssued_iI_pid_c2"/>
      <w:bookmarkStart w:id="528" w:name="xdx_901_eus-gaap--SharesIssued_iI_pid_c2"/>
      <w:bookmarkEnd w:id="524"/>
      <w:bookmarkEnd w:id="525"/>
      <w:bookmarkEnd w:id="526"/>
      <w:bookmarkEnd w:id="527"/>
      <w:bookmarkEnd w:id="528"/>
      <w:r>
        <w:rPr>
          <w:rFonts w:ascii="Times New Roman;Times;Serif" w:hAnsi="Times New Roman;Times;Serif"/>
          <w:b w:val="false"/>
          <w:i w:val="false"/>
          <w:caps w:val="false"/>
          <w:smallCaps w:val="false"/>
          <w:sz w:val="20"/>
        </w:rPr>
        <w:t>951 shares of Company common stock to each of Sam Lai, Maggie Yu, Michael Lenner, Alan Gao and Hillary Bui, with a fair market value of $</w:t>
      </w:r>
      <w:bookmarkStart w:id="529" w:name="xdx_901_eus-gaap--SharesIssuedPricePerSh"/>
      <w:bookmarkStart w:id="530" w:name="xdx_909_eus-gaap--SharesIssuedPricePerSh"/>
      <w:bookmarkStart w:id="531" w:name="xdx_905_eus-gaap--SharesIssuedPricePerSh"/>
      <w:bookmarkStart w:id="532" w:name="xdx_90E_eus-gaap--SharesIssuedPricePerSh"/>
      <w:bookmarkStart w:id="533" w:name="xdx_902_eus-gaap--SharesIssuedPricePerSh"/>
      <w:bookmarkEnd w:id="529"/>
      <w:bookmarkEnd w:id="530"/>
      <w:bookmarkEnd w:id="531"/>
      <w:bookmarkEnd w:id="532"/>
      <w:bookmarkEnd w:id="533"/>
      <w:r>
        <w:rPr>
          <w:rFonts w:ascii="Times New Roman;Times;Serif" w:hAnsi="Times New Roman;Times;Serif"/>
          <w:b w:val="false"/>
          <w:i w:val="false"/>
          <w:caps w:val="false"/>
          <w:smallCaps w:val="false"/>
          <w:sz w:val="20"/>
        </w:rPr>
        <w:t>3.1530 per share as compensation for the services as executives or directors of the Company pursuant to the terms of their respective Executive Employment Agreements or Director Agreements with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5, 2026, the Company issued </w:t>
      </w:r>
      <w:bookmarkStart w:id="534" w:name="xdx_907_eus-gaap--SharesIssued_iI_pid_c2"/>
      <w:bookmarkStart w:id="535" w:name="xdx_907_eus-gaap--SharesIssued_iI_pid_c2"/>
      <w:bookmarkStart w:id="536" w:name="xdx_903_eus-gaap--SharesIssued_iI_pid_c2"/>
      <w:bookmarkStart w:id="537" w:name="xdx_907_eus-gaap--SharesIssued_iI_pid_c2"/>
      <w:bookmarkStart w:id="538" w:name="xdx_90B_eus-gaap--SharesIssued_iI_pid_c2"/>
      <w:bookmarkEnd w:id="534"/>
      <w:bookmarkEnd w:id="535"/>
      <w:bookmarkEnd w:id="536"/>
      <w:bookmarkEnd w:id="537"/>
      <w:bookmarkEnd w:id="538"/>
      <w:r>
        <w:rPr>
          <w:rFonts w:ascii="Times New Roman;Times;Serif" w:hAnsi="Times New Roman;Times;Serif"/>
          <w:b w:val="false"/>
          <w:i w:val="false"/>
          <w:caps w:val="false"/>
          <w:smallCaps w:val="false"/>
          <w:sz w:val="20"/>
        </w:rPr>
        <w:t>1,514 shares of Company common stock to each of Sam Lai, Maggie Yu, Michael Lenner, Alan Gao and Hillary Bui, with a fair market value of $</w:t>
      </w:r>
      <w:bookmarkStart w:id="539" w:name="xdx_90C_eus-gaap--SharesIssuedPricePerSh"/>
      <w:bookmarkStart w:id="540" w:name="xdx_905_eus-gaap--SharesIssuedPricePerSh"/>
      <w:bookmarkStart w:id="541" w:name="xdx_905_eus-gaap--SharesIssuedPricePerSh"/>
      <w:bookmarkStart w:id="542" w:name="xdx_900_eus-gaap--SharesIssuedPricePerSh"/>
      <w:bookmarkStart w:id="543" w:name="xdx_905_eus-gaap--SharesIssuedPricePerSh"/>
      <w:bookmarkEnd w:id="539"/>
      <w:bookmarkEnd w:id="540"/>
      <w:bookmarkEnd w:id="541"/>
      <w:bookmarkEnd w:id="542"/>
      <w:bookmarkEnd w:id="543"/>
      <w:r>
        <w:rPr>
          <w:rFonts w:ascii="Times New Roman;Times;Serif" w:hAnsi="Times New Roman;Times;Serif"/>
          <w:b w:val="false"/>
          <w:i w:val="false"/>
          <w:caps w:val="false"/>
          <w:smallCaps w:val="false"/>
          <w:sz w:val="20"/>
        </w:rPr>
        <w:t>1.9815 per share as compensation for the services as executives or directors of the Company pursuant to the terms of their respective Executive Employment Agreements or Director Agreements with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44" w:name="xdx_805_eus-gaap--CommitmentsAndContinge"/>
      <w:bookmarkEnd w:id="544"/>
      <w:r>
        <w:rPr>
          <w:rFonts w:ascii="Times New Roman;Times;Serif" w:hAnsi="Times New Roman;Times;Serif"/>
          <w:b/>
          <w:i w:val="false"/>
          <w:caps w:val="false"/>
          <w:smallCaps w:val="false"/>
          <w:sz w:val="20"/>
        </w:rPr>
        <w:t xml:space="preserve">NOTE 14 - </w:t>
      </w:r>
      <w:bookmarkStart w:id="545" w:name="xdx_82C_zKWIfBffz1w"/>
      <w:bookmarkEnd w:id="545"/>
      <w:r>
        <w:rPr>
          <w:rFonts w:ascii="Times New Roman;Times;Serif" w:hAnsi="Times New Roman;Times;Serif"/>
          <w:b/>
          <w:i w:val="false"/>
          <w:caps w:val="false"/>
          <w:smallCaps w:val="false"/>
          <w:sz w:val="20"/>
        </w:rPr>
        <w:t>Commitments and Contingencies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had no material or significant commitments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time-to-time, the Company is subject to various litigation and other claims in the normal course of business. The Company establishes liabilities in connection with legal actions that management deems to be probable and estimable. As of March 31, 2026 and December 31, 2025, the Company had no pending material legal proceedings. No amounts have been accrued in the unaudited consolidated financial statements with respect to any such matters.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46" w:name="xdx_809_eus-gaap--SubsequentEventsTextBl"/>
      <w:bookmarkEnd w:id="546"/>
      <w:r>
        <w:rPr>
          <w:rFonts w:ascii="Times New Roman;Times;Serif" w:hAnsi="Times New Roman;Times;Serif"/>
          <w:b/>
          <w:i w:val="false"/>
          <w:caps w:val="false"/>
          <w:smallCaps w:val="false"/>
          <w:sz w:val="20"/>
        </w:rPr>
        <w:t xml:space="preserve">NOTE 15 - </w:t>
      </w:r>
      <w:bookmarkStart w:id="547" w:name="xdx_82B_zn5WnZNOBSR8"/>
      <w:bookmarkEnd w:id="547"/>
      <w:r>
        <w:rPr>
          <w:rFonts w:ascii="Times New Roman;Times;Serif" w:hAnsi="Times New Roman;Times;Serif"/>
          <w:b/>
          <w:i w:val="false"/>
          <w:caps w:val="false"/>
          <w:smallCaps w:val="false"/>
          <w:sz w:val="20"/>
        </w:rPr>
        <w:t>Subsequent Events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Equity Issuances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6, 2026, the Company issued </w:t>
      </w:r>
      <w:bookmarkStart w:id="548" w:name="xdx_900_eus-gaap--ShareBasedCompensation"/>
      <w:bookmarkStart w:id="549" w:name="xdx_904_eus-gaap--ShareBasedCompensation"/>
      <w:bookmarkStart w:id="550" w:name="xdx_908_eus-gaap--ShareBasedCompensation"/>
      <w:bookmarkStart w:id="551" w:name="xdx_90A_eus-gaap--ShareBasedCompensation"/>
      <w:bookmarkStart w:id="552" w:name="xdx_901_eus-gaap--ShareBasedCompensation"/>
      <w:bookmarkEnd w:id="548"/>
      <w:bookmarkEnd w:id="549"/>
      <w:bookmarkEnd w:id="550"/>
      <w:bookmarkEnd w:id="551"/>
      <w:bookmarkEnd w:id="552"/>
      <w:r>
        <w:rPr>
          <w:rFonts w:ascii="Times New Roman;Times;Serif" w:hAnsi="Times New Roman;Times;Serif"/>
          <w:b w:val="false"/>
          <w:i w:val="false"/>
          <w:caps w:val="false"/>
          <w:smallCaps w:val="false"/>
          <w:sz w:val="20"/>
        </w:rPr>
        <w:t>1,600 shares of Company common stock to each of Sam Lai, Maggie Yu, Michael Lenner, Alan Gao and Hillary Bui, with a fair market value of $</w:t>
      </w:r>
      <w:bookmarkStart w:id="553" w:name="xdx_903_eus-gaap--SharesIssuedPricePerSh"/>
      <w:bookmarkStart w:id="554" w:name="xdx_90A_eus-gaap--SharesIssuedPricePerSh"/>
      <w:bookmarkStart w:id="555" w:name="xdx_903_eus-gaap--SharesIssuedPricePerSh"/>
      <w:bookmarkStart w:id="556" w:name="xdx_90B_eus-gaap--SharesIssuedPricePerSh"/>
      <w:bookmarkStart w:id="557" w:name="xdx_90F_eus-gaap--SharesIssuedPricePerSh"/>
      <w:bookmarkEnd w:id="553"/>
      <w:bookmarkEnd w:id="554"/>
      <w:bookmarkEnd w:id="555"/>
      <w:bookmarkEnd w:id="556"/>
      <w:bookmarkEnd w:id="557"/>
      <w:r>
        <w:rPr>
          <w:rFonts w:ascii="Times New Roman;Times;Serif" w:hAnsi="Times New Roman;Times;Serif"/>
          <w:b w:val="false"/>
          <w:i w:val="false"/>
          <w:caps w:val="false"/>
          <w:smallCaps w:val="false"/>
          <w:sz w:val="20"/>
        </w:rPr>
        <w:t>1.8745 per share as compensation for the services as executives or directors of the Company pursuant to the terms of their respective Executive Employment Agreements or Director Agreements with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 Advance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changes in Amazon’s Disbursement Policy, daily remittances are now delayed by seven days. In April 2026, Sam Lai, the Company’s Chairman of the Board, Chief Executive Officer and Interim Chief Financial Officer and a significant stockholder of the Company, and Maggie Yu, the Company’s Senior Vice President, a member of the Company’s Board of Directors and a significant stockholder of the Company, advanced a total of $</w:t>
      </w:r>
      <w:bookmarkStart w:id="558" w:name="xdx_90B_eus-gaap--OtherReceivables_iI_c2"/>
      <w:bookmarkEnd w:id="558"/>
      <w:r>
        <w:rPr>
          <w:rFonts w:ascii="Times New Roman;Times;Serif" w:hAnsi="Times New Roman;Times;Serif"/>
          <w:b w:val="false"/>
          <w:i w:val="false"/>
          <w:caps w:val="false"/>
          <w:smallCaps w:val="false"/>
          <w:sz w:val="20"/>
        </w:rPr>
        <w:t>1,601,000 to the Company to provide support. At present, no formal contract has been entered into.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from the balance sheet date through May 12, 2026, the date at which the financial statements were available to be issued, and determined that, apart from the events mentioned above, there are no other subsequent events to disclose.</w:t>
      </w:r>
    </w:p>
    <w:p>
      <w:pPr>
        <w:pStyle w:val="TextBody"/>
        <w:bidi w:val="0"/>
        <w:jc w:val="both"/>
        <w:rPr>
          <w:caps w:val="false"/>
          <w:smallCaps w:val="false"/>
        </w:rPr>
      </w:pPr>
      <w:bookmarkStart w:id="559" w:name="xdx_811_zJGF69UwxuY"/>
      <w:bookmarkEnd w:id="55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60" w:name="aq_002"/>
      <w:bookmarkEnd w:id="56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Private Securities Litigation Reform Act of 1995 and Section 27A of the Securities Act of 1933, as amended (the “Securities Act”), and Section 21E of the Securities Exchange Act of 1934, as amended (the “Exchange Act”), provide a safe harbor for forward-looking statements made by or on behalf of Hour Loop, Inc. (“we,” “us,” “our,” “Hour Loop” or the “Company”). The Company and its representatives may from time to time make written or oral statements that are “forward-looking,” including statements contained in this report and other filings with the Securities and Exchange Commission (“SEC”) and in our reports and presentations to stockholders or potential stockholders. In some cases, forward-looking statements can be identified by words such as “believe,” “expect,” “anticipate,” “plan,” “potential,” “continue” or similar expressions. Such forward-looking statements include risks and uncertainties and there are important factors that could cause actual results to differ materially from those expressed or implied by such forward-looking statements. These factors, risks and uncertainties can be found in Part I, Item 1A, “Risk Factors,” of our Annual Report on Form 10-K for the fiscal year ended December 31, 2025, as the same may be updated from time to time, including in Part II, Item 1A, “Risk Factors,” of this Quarterly Report on Form 10-Q.</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Although we believe the expectations reflected in our forward-looking statements are based upon reasonable assumptions, it is not possible to foresee or identify all factors that could have a material effect on our future financial performance. The forward-looking statements in this report are made on the basis of management’s assumptions and analyses, as of the time the statements are made, in light of their experience and perception of historical conditions, expected future developments and other factors believed to be appropriate under the circumstances.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otherwise required by the federal securities laws, we disclaim any obligation or undertaking to publicly release any updates or revisions to any forward-looking statement contained in this Quarterly Report on Form 10-Q and the information incorporated by reference in this report to reflect any change in our expectations with regard thereto or any change in events, conditions or circumstances on which any statement is based.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an online retailer engaged in e-commerce retailing in the U.S. market. We have operated as a third-party seller on </w:t>
      </w:r>
      <w:r>
        <w:rPr>
          <w:rFonts w:ascii="Times New Roman;Times;Serif" w:hAnsi="Times New Roman;Times;Serif"/>
          <w:b w:val="false"/>
          <w:i/>
          <w:caps w:val="false"/>
          <w:smallCaps w:val="false"/>
          <w:sz w:val="20"/>
        </w:rPr>
        <w:t>www.amazon.com</w:t>
      </w:r>
      <w:r>
        <w:rPr>
          <w:rFonts w:ascii="Times New Roman;Times;Serif" w:hAnsi="Times New Roman;Times;Serif"/>
          <w:b w:val="false"/>
          <w:i w:val="false"/>
          <w:caps w:val="false"/>
          <w:smallCaps w:val="false"/>
          <w:sz w:val="20"/>
        </w:rPr>
        <w:t xml:space="preserve"> (“Amazon”) since 2013, and on </w:t>
      </w:r>
      <w:r>
        <w:rPr>
          <w:rFonts w:ascii="Times New Roman;Times;Serif" w:hAnsi="Times New Roman;Times;Serif"/>
          <w:b w:val="false"/>
          <w:i/>
          <w:caps w:val="false"/>
          <w:smallCaps w:val="false"/>
          <w:sz w:val="20"/>
        </w:rPr>
        <w:t>www.walmart.com</w:t>
      </w:r>
      <w:r>
        <w:rPr>
          <w:rFonts w:ascii="Times New Roman;Times;Serif" w:hAnsi="Times New Roman;Times;Serif"/>
          <w:b w:val="false"/>
          <w:i w:val="false"/>
          <w:caps w:val="false"/>
          <w:smallCaps w:val="false"/>
          <w:sz w:val="20"/>
        </w:rPr>
        <w:t xml:space="preserve"> (“Walmart”) since 2020. We have also sold merchandise on our website at </w:t>
      </w:r>
      <w:r>
        <w:rPr>
          <w:rFonts w:ascii="Times New Roman;Times;Serif" w:hAnsi="Times New Roman;Times;Serif"/>
          <w:b w:val="false"/>
          <w:i/>
          <w:caps w:val="false"/>
          <w:smallCaps w:val="false"/>
          <w:sz w:val="20"/>
        </w:rPr>
        <w:t>www.hourloop.com</w:t>
      </w:r>
      <w:r>
        <w:rPr>
          <w:rFonts w:ascii="Times New Roman;Times;Serif" w:hAnsi="Times New Roman;Times;Serif"/>
          <w:b w:val="false"/>
          <w:i w:val="false"/>
          <w:caps w:val="false"/>
          <w:smallCaps w:val="false"/>
          <w:sz w:val="20"/>
        </w:rPr>
        <w:t xml:space="preserve"> since 2013. To date, we have generated practically all of our revenues as a third-party seller on Amazon and only a negligible amount of revenues from our operations on our website at </w:t>
      </w:r>
      <w:r>
        <w:rPr>
          <w:rFonts w:ascii="Times New Roman;Times;Serif" w:hAnsi="Times New Roman;Times;Serif"/>
          <w:b w:val="false"/>
          <w:i/>
          <w:caps w:val="false"/>
          <w:smallCaps w:val="false"/>
          <w:sz w:val="20"/>
        </w:rPr>
        <w:t>www.hourloop.com</w:t>
      </w:r>
      <w:r>
        <w:rPr>
          <w:rFonts w:ascii="Times New Roman;Times;Serif" w:hAnsi="Times New Roman;Times;Serif"/>
          <w:b w:val="false"/>
          <w:i w:val="false"/>
          <w:caps w:val="false"/>
          <w:smallCaps w:val="false"/>
          <w:sz w:val="20"/>
        </w:rPr>
        <w:t xml:space="preserve"> and as a third-party seller on Walmart. We manage more than 100,000 stock-keeping units (“SKUs”). Product categories include home/garden décor, toys, kitchenware, apparel, and electronics. Our primary strategy is to bring most of our vendors’ product selections to the customers. We have advanced software that assists us in identifying product gaps so we can keep such products in stock year-round including the entirety of the fourth quarter (holiday season) of the calendar year. In upcoming years, we plan to expand our business rapidly by increasing the number of business managers, vendors and SKUs.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Model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main types of business models on Amazon: wholesale, private label and retail arbitrage. Our business model is wholesale, also known as reselling, which refers to buying products in bulk directly from the brand or manufacturer at a wholesale price and making a profit by selling the product on Amazon. We sell merchandise on Amazon and the sales are fulfilled by Amazon. We pay Amazon fees for allowing us to sell on their platform. Our relationship with Walmart is also similar. We pay Walmart fees for allowing us to sell our merchandise on their platform. As stated above, to date, we have generated only a negligible amount of revenues as a third-party seller on Walmart.</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selling via a wholesale model include the following:</w:t>
      </w:r>
    </w:p>
    <w:p>
      <w:pPr>
        <w:pStyle w:val="TextBody"/>
        <w:shd w:fill="FFFFFF" w:val="clear"/>
        <w:bidi w:val="0"/>
        <w:ind w:left="0" w:right="0" w:firstLine="72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lower unit quantities with wholesale orders than private label products.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38"/>
        <w:gridCol w:w="17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wholesale is less time intensive and easier to scale than sourcing products via retail arbitrage.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brands will want to work with us because we can provide broader Amazon presence.</w:t>
            </w:r>
          </w:p>
        </w:tc>
      </w:tr>
    </w:tbl>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challenges of selling via a wholesale model include the following:</w:t>
      </w:r>
    </w:p>
    <w:p>
      <w:pPr>
        <w:pStyle w:val="TextBody"/>
        <w:shd w:fill="FFFFFF" w:val="clear"/>
        <w:bidi w:val="0"/>
        <w:ind w:left="0" w:right="0" w:firstLine="720"/>
        <w:jc w:val="both"/>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Fierce competition on listing for Buy Box on Amazon (as described below).</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maintaining relationships with brand manufacturers.</w:t>
            </w:r>
          </w:p>
        </w:tc>
      </w:tr>
    </w:tbl>
    <w:p>
      <w:pPr>
        <w:pStyle w:val="TextBody"/>
        <w:bidi w:val="0"/>
        <w:ind w:left="3" w:right="0" w:hanging="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Formation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in 2013 by Sam Lai, our Chairman of the Board, Chief Executive Officer, interim Chief Financial Officer and significant stockholder, and Maggie Yu, our Senior Vice President, a member of our Board of Directors and a significant stockholder. Mr. Lai and Ms. Yu are husband and wife. With their vision, leadership, and software development skills, the Company grew rapidly. From 2013 to 2025, net sales grew from $0 to $142,440,236.</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Advantage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the approximately 1.9 million active third-party sellers on Amazon, we believe we have two main competitive advantages:</w:t>
      </w:r>
    </w:p>
    <w:p>
      <w:pPr>
        <w:pStyle w:val="TextBody"/>
        <w:shd w:fill="FFFFFF" w:val="clear"/>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we have strong operations and sales teams experienced in listing, shipment, advertising, reconciliation and sales. By delivering high quality results and enhancing procedures through the process, our teams are competitive.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we believe our proprietary software system gives us an advantage over our competition. The system is highly customized to our business model; it collects and processes large amounts of data every day to optimize our operation and sales. Through advanced software, we can identify product gaps and keep them in stock all year round.</w:t>
            </w:r>
          </w:p>
        </w:tc>
      </w:tr>
    </w:tbl>
    <w:p>
      <w:pPr>
        <w:pStyle w:val="TextBody"/>
        <w:shd w:fill="FFFFFF" w:val="clear"/>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advertising strategy, we advertise those products that we estimate will have greater demand based on our experience. This lets us allocate our advertising budget in a fashion that delivers positive value. We advertise our products on Amazon and allocate our advertising dollars prudently. This is accomplished by advertising items that deliver the most return for our advertising spending. We monitor the items being advertised by our competitors. On the operations side, we constantly refine our processes based on learnings from historical data. The combination of managing the business operations effectively, along with allocating our advertising budget to high value items, allows us to grow profitably. In cases where advertising is fierce, we allocate spending appropriately. Our strategy for competing with larger competitors is to monitor their pricing and not compete with them when their pricing is low or at a loss. Competitors sell at low prices or at a loss due to a variety of reasons, including, but not limited to, their desire to liquidate inventory or achieve a short-term increase in revenue. During these times, we avoid matching their prices. This strategy allows us to stay profitable.</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Tariff Impact and Response Measures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2026, the global trade environment shifted significantly following the U.S. Supreme Court’s February 20, 2026 ruling that the International Emergency Economic Powers Act (“IEEPA”) does not authorize the imposition of tariffs, thereby invalidating the reciprocal tariff regime in place throughout 2025. Shortly thereafter, on February 24, 2026, President Donald Trump invoked Section 122 of the Trade Act of 1974, as amended, imposing a temporary 10% global import surcharge on most goods entering the United States for an initial period of 150 days. Concurrently, the suspension of the “de minimis” exemption for low-value shipments ($800 or less) remained in effect, requiring formal entry and duty payment on all parcels. On March 11, 2026, the Office of the U.S. Trade Representative initiated new Section 301 investigations into manufacturing overcapacity and forced labor across 16 economies, including China, which may result in additional, non-timebound tariff measures.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proactive inventory positioning in 2025 provided a temporary buffer during the early months of 2026. However, the Section 122 surcharge and the loss of de minimis treatment have materially increased landed costs and compliance requirements. In response, the Company has undertaken supply chain diversification initiatives, adjusted logistics and customs processes, and implemented selective price increases to mitigate margin pressure. We continue to monitor ongoing trade policy developments, including the potential outcomes of the Section 301 investigations, and remain prepared to adopt further pricing or sourcing adjustments to preserve supply chain continuity and financial resilience in this evolving regulatory environment.</w:t>
      </w:r>
    </w:p>
    <w:p>
      <w:pPr>
        <w:pStyle w:val="TextBody"/>
        <w:shd w:fill="FFFFFF" w:val="clear"/>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Pricing Strategy and Policies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ideal world, we would like to price our products at key stone pricing or double wholesale cost. However, we operate in a hypercompetitive environment and we must stay competitive. Therefore, we must draw a good balance between gross margin and revenue. Our main objectives focus on increasing volume and maximizing profits, which is achieved with a customized auto pricing system we developed internally, in combination with well-trained business managers’ judgment on pricing skills, as well as constant monitoring. One principal feature of the pricing system is that it automatically syncs public data of competing offers from Amazon regularly, so business managers can set and adjust pricing based on accurate data, and thus be able to set optimal selling prices for products. In addition, the system is constantly improved with new features and optimizations.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high level, our automated pricing tool helps us stay competitive while our business managers mainly focus on increasing gross margins. Our proprietary repricing tool analyzes sales trends, projected sales, inventory age, inventory cost, potential profits, Fulfillment by Amazon (“FBA”) fees, competing offers, and seasonality and determines an urgency level. Then, depending on the level of urgency, it automatically adjusts prices accordingly.</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managers, after establishing the bases for prices, begin to develop pricing strategies for each product, while taking current market conditions and Company goals (e.g., increasing short-term or long-term profits) and strategies into consideration. Furthermore, business managers consider different marketing segments, such as costs and competition, in order to develop effective pricing strategies and policies.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subsections provide more insight into various pricing strategies we have developed over the years. Our internal training mainly focuses on competition-based and value-based pricing policies.</w:t>
      </w:r>
    </w:p>
    <w:p>
      <w:pPr>
        <w:pStyle w:val="TextBody"/>
        <w:shd w:fill="FFFFFF" w:val="clear"/>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Competition-Based Pricing Policy: </w:t>
            </w:r>
            <w:r>
              <w:rPr>
                <w:rFonts w:ascii="Times New Roman;Times;Serif" w:hAnsi="Times New Roman;Times;Serif"/>
                <w:b w:val="false"/>
                <w:i w:val="false"/>
                <w:caps w:val="false"/>
                <w:smallCaps w:val="false"/>
                <w:sz w:val="20"/>
              </w:rPr>
              <w:t>15% of our products are toys, which are extremely popular and competitive. In this type of environment, where volume is high but gross margin is low, our main strategy is to purchase large quantities, so we can increase sales volume and price competitively while maintaining an average return on investment (“ROI”) of at least 15%. We use the competition-based pricing policy to match competitors’ prices, which means constantly winning Buy Box (as described below). Our pricing system is capable of automatically matching all Buy Box.</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Promotional Pricing Policy: </w:t>
            </w:r>
            <w:r>
              <w:rPr>
                <w:rFonts w:ascii="Times New Roman;Times;Serif" w:hAnsi="Times New Roman;Times;Serif"/>
                <w:b w:val="false"/>
                <w:i w:val="false"/>
                <w:caps w:val="false"/>
                <w:smallCaps w:val="false"/>
                <w:sz w:val="20"/>
              </w:rPr>
              <w:t>To boost lagging sales, we adapted our own promotional pricing policy, which involves offering modest discounts on products with inventory age over 45 days, which proves to be cost-effective at reducing the number of low turn-over SKUs.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Value-Based Pricing Policy:</w:t>
            </w:r>
            <w:r>
              <w:rPr>
                <w:rFonts w:ascii="Times New Roman;Times;Serif" w:hAnsi="Times New Roman;Times;Serif"/>
                <w:b w:val="false"/>
                <w:i w:val="false"/>
                <w:caps w:val="false"/>
                <w:smallCaps w:val="false"/>
                <w:sz w:val="20"/>
              </w:rPr>
              <w:t xml:space="preserve"> We incorporate a value-based pricing strategy when inventories are constrained, which can happen when customer demand suddenly spikes due to external factors, supply shortage, or seasonal spikes. We set prices to reflect the value perceived by customers, especially on products under gift categories when consumer demands are higher. Contrary to a typical seller, we opt to maintain high gross margin instead of marking down prices and running special deals during the high-demand season during the fourth quarter. Therefore, business managers can achieve increases in both sales and high average ROI of 40%.</w:t>
            </w:r>
          </w:p>
        </w:tc>
      </w:tr>
    </w:tbl>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 Box on </w:t>
      </w:r>
      <w:r>
        <w:rPr>
          <w:rFonts w:ascii="Times New Roman;Times;Serif" w:hAnsi="Times New Roman;Times;Serif"/>
          <w:b w:val="false"/>
          <w:i/>
          <w:caps w:val="false"/>
          <w:smallCaps w:val="false"/>
          <w:sz w:val="20"/>
        </w:rPr>
        <w:t>amazon.com</w:t>
      </w:r>
      <w:r>
        <w:rPr>
          <w:rFonts w:ascii="Times New Roman;Times;Serif" w:hAnsi="Times New Roman;Times;Serif"/>
          <w:b w:val="false"/>
          <w:i w:val="false"/>
          <w:caps w:val="false"/>
          <w:smallCaps w:val="false"/>
          <w:sz w:val="20"/>
        </w:rPr>
        <w:t xml:space="preserve"> is the top right section on a product page where customers can directly add items to their shopping carts. Since many sellers on Amazon can sell the same product, they must compete to “win the Buy Box” for a certain product. Winning the Amazon Buy Box simply means that you were chosen for the Buy Box placement. When you win this placement, customers have a button to directly add your product to their carts, giving you an advantage over competing sellers. For a seller to be eligible for the Buy Box, they must meet a set of performance-based requirements, including order defect rate, customer shopping experience, time and experience on the Amazon selling platform, and status as a professional seller.</w:t>
      </w:r>
    </w:p>
    <w:p>
      <w:pPr>
        <w:pStyle w:val="TextBody"/>
        <w:shd w:fill="FFFFFF" w:val="clear"/>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2026, the Company also faced additional cost pressures from Amazon’s labeling service discontinuation and changes to the commingled inventory policy. Prior to 2026, the Company contracted with Amazon to provide labeling and packaging (such as polybagging and bubble wrapping) services for the Company. Effective January 1, 2026, Amazon ceased providing these services for its sellers. Accordingly, sellers, including the Company, are now responsible for all inventory preparation prior to delivery at Amazon fulfillment centers. In response, the Company has, among other things, (i) engaged external fulfillment partners to manage labeling and preparation, resulting in an incremental increase in variable fulfillment costs per unit; and (ii) integrated FNSKU labeling and Amazon-compliant packaging directly into the manufacturing process at the source, which resulted in increases to cost of revenues and selling and marketing expenses.  Labeling-related costs are expected to have an impact   going forward. Although the impact is not considered material, the Company has disclosed the level of impact for transparency; however, the Company also successfully secured more advertising fund support and negotiated better vendor discounts. These measures helped offset rising costs and ensured that overall profitability remained stable for the three months ended March 31,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 Cash Bonuses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the Company’s Audit Committee and the Board of Directors approved the payment of cash bonuses to Sam Lai, the Company’s Chairman of the Board, Chief Executive Officer and Interim Chief Financial Officer, and Maggie Yu, the Company’s Senior Vice President and a member of the Board of Directors, in the amount of $500,000 and $450,000, respectively. Mr. Lai and Ms. Yu are husband and wife, and together beneficially own approximately 94.84% of the voting power of the Company’s outstanding common stock. The Company paid such cash bonuses to Mr. Lai and Ms. Yu on March 25 and March 18, 2026, respectively.</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Addendum No. 6 to Lai Employment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the Company entered into Addendum No. 6 (the “Lai Addendum”) to Executive Employment Agreement, as amended, with Mr. Lai (the “Lai Agreement”). Pursuant to the terms of the Lai Addendum, Mr. Lai’s bonus targets and payments were set as follows:</w:t>
      </w:r>
    </w:p>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grows its net profits (excluding taxes and executives’ bonuses) to at least $750,000 during the 2026 fiscal year, Mr. Lai will receive a bonus equal to 50% of Base Salary (as defined in the Lai Agreement).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grows its net profits (excluding taxes and executives’ bonuses) to at least $1,500,000 during the 2026 fiscal year, Mr. Lai will receive a bonus equal to 100% of Base Salary.</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satisfaction of the above conditions will be determined at the end of the 2026 fiscal year. For the avoidance of doubt, only one of the above bonus amounts, if at all, will be payable.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terms of the Lai Addendum, Mr. Lai is entitled to receive a guaranteed bonus of $100,000 on December 22, 2026.</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Addendum No. 6 to Yu Employment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February 24, 2026, the Company entered into Addendum No. 6 (the “Yu Addendum”) to Executive Employment Agreement, as amended, with Ms. Yu (the “Yu Agreement”). Pursuant to the terms of the Yu Addendum, Ms. Yu’s bonus targets and payments were set as follows:</w:t>
      </w:r>
    </w:p>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acquires at least 100 new vendors during the 2026 fiscal year, Ms. Yu will receive a bonus equal to 50% of Base Salary (as defined in the Yu Agreement).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acquires at least 135 new vendors during the 2026 fiscal year, Ms. Yu will receive a bonus equal to 100% of her Base Salary.</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satisfaction of the above conditions will be determined at the end of the 2026 fiscal year. For the avoidance of doubt, only one of the above bonus amounts, if at all, will be payable.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terms of the Yu Addendum, Ms. Yu is entitled to receive a guaranteed bonus of $100,000 on December 22, 2026.</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Bylaws Amendment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Company’s Board of Directors adopted an amendment (the “Bylaws Amendment”) to the Company’s bylaws (the “Bylaws”).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adoption of the Bylaws Amendment, the second sentence of Section 7.4 of the Bylaws provided that “[i]f any action is brought by any party against another party, relating to or arising out of [the] Bylaws, or the enforcement hereof, the prevailing party shall be entitled to recover from the other party reasonable attorneys’ fees, costs and expenses incurred in connection with the prosecution or defense of such action, provided that the provisions of this sentence shall not apply with respect to “internal corporate claims” as defined in Section 109(b) of the [Delaware General Corporation Law]”, and Section 7.5 of the Bylaws provided (and continues to provide following adoption of the Bylaws Amendment) that “[a]ll powers, duties and responsibilities provided for in [the] Bylaws, whether or not explicitly so qualified, are qualified by the provisions of the [Company’s certificate of incorporation] and applicable law”.</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Amendment had the effect of amending and restating the second sentence of Section 7.4 of the Bylaws to read as follows: “If any action is brought by any party against another party, relating to or arising out of these Bylaws, or the enforcement hereof, the prevailing party shall be entitled to recover from the other party reasonable attorneys’ fees, costs and expenses incurred in connection with the prosecution or defense of such action, provided that the provisions of this sentence shall not apply with respect to “internal corporate claims” as defined in Section 115 of the DGCL or in connection with any other claim that a stockholder, acting in its capacity as a stockholder or in the right of the Corporation, has brought in an action, suit or proceeding.” In addition, the Bylaws Amendment added a new sentence to the end of Section 7.4 of the Bylaws, providing as follows: “Unless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as amended, or the Securities Exchange Act of 1934, as amended, including, in each case, any and all claims brought either directly or derivatively.”</w:t>
      </w:r>
    </w:p>
    <w:p>
      <w:pPr>
        <w:pStyle w:val="TextBody"/>
        <w:shd w:fill="FFFFFF" w:val="clear"/>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Amendment was intended to (i) clarify that, consistent with Section 7.5 of the Bylaws and the provisions of the Delaware General Corporation Law, including Section 109(b) thereof, the Bylaws do not contain any provision that would impose liability on a stockholder for the attorneys’ fees or expenses of the Company or any other party in connection with an internal corporate claim, or in connection with any other claim that a stockholder, acting in its capacity as a stockholder or in the right of the Company, has brought in an action, suit or proceeding; and (ii) provide that all direct and derivative claims related to the Securities Act or the Exchange Act must be brought solely in a U.S. federal court.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Equity Issuances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the Company issued 1,600 shares of Company common stock to each of Sam Lai, Maggie Yu, Michael Lenner, Alan Gao and Hillary Bui, with a fair market value of $1.8745 per share as compensation for the services as executives or directors of the Company pursuant to the terms of their respective Executive Employment Agreements or Director Agreements with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 Advance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changes in Amazon’s Disbursement Policy, daily remittances are now delayed by seven days. In April 2026, Sam Lai, the Company’s Chairman of the Board, Chief Executive Officer and Interim Chief Financial Officer and a significant stockholder of the Company, and Maggie Yu, the Company’s Senior Vice President, a member of the Company’s Board of Directors and a significant stockholder of the Company, advanced a total of $1,601,000 to the Company to provide support. At present, no formal contract has been entered into.</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Financial Position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we generated net revenues of $29,930,342 and $25,837,090, respectively, and reported net income of $823,482 and $654,517, respectively, and cash flow used in operating activities of $2,201,403 and $23,891, respectively. As noted in our unaudited consolidated financial statements, as of March 31, 2026, we had retained earnings of $1,933,156.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comparison of our unaudited income statements for the three months ended March 31, 2026 and 2025.</w:t>
      </w:r>
    </w:p>
    <w:p>
      <w:pPr>
        <w:pStyle w:val="TextBody"/>
        <w:bidi w:val="0"/>
        <w:jc w:val="both"/>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2825"/>
        <w:gridCol w:w="60"/>
        <w:gridCol w:w="125"/>
        <w:gridCol w:w="1010"/>
        <w:gridCol w:w="80"/>
        <w:gridCol w:w="60"/>
        <w:gridCol w:w="125"/>
        <w:gridCol w:w="1010"/>
        <w:gridCol w:w="95"/>
      </w:tblGrid>
      <w:tr>
        <w:trPr/>
        <w:tc>
          <w:tcPr>
            <w:tcW w:w="28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Operations Data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29,930,342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25,837,090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(13,912,567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(11,691,792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16,017,775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14,145,298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14,875,647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13,224,433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1,142,128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920,865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(309,658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(281,419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823,482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654,517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805,866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640,981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three months ended March 31, 2026 compared to the three months ended March 31, 2025</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generated $29,930,342 in revenues, net in the three months ended March 31, 2026, as compared to $25,837,090 in revenues, net in the same period in 2025. This represents an increase in revenues, net of $4,093,252, or 15.8%. We attribute this increase to our continued growth and maturity in our operating model, despite an overall e-commerce traffic slowdown and intense competition.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orders in the three months ended March 31, 2026 were approximately 1,359,094, as compared to 1,229,792 orders in the three months ended March 31, 2025, representing an increase of 10.5%. The growth in order volume was the primary driver of revenue expansion. In addition, the higher average order value contributed to revenue growth exceeding the pace of order growth. While competitive pricing strategies and promotional discounts moderated unit pricing, the combination of increased order volume and sustained customer engagement resulted in meaningful revenue gains.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March 31, 2026 totaled $13,912,567, as compared to $11,691,792 for the three months ended March 31, 2025. Cost of revenues includes the cost of the merchandise sold and shipping costs, as well as estimated losses due to damage to goods. In 2026, Amazon implemented changes to its Fulfillment by Amazon (FBA) fee structure. Beginning January 15, 2026, fulfillment fees for certain product categories were adjusted, with increases for higher-priced standard-size items and reductions for select bulky items. In addition, effective April 17, 2026, Amazon introduced a 3.5% fuel and logistics surcharge applicable to FBA in the United States and Canada, as well as cross-border Remote Fulfillment programs. These changes, together with revised inventory and return handling policies, are expected to increase operating costs for sellers. The Company has assessed that the impact is not material; however, the level of impact has been disclosed for transparency.</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Operating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three months ended March 31, 2026 totaled $14,875,647, representing a $1,651,214, or 12.5%, increase from the $13,224,433 of total operating expenses for the three months ended March 31, 2025. This change was caused by an increase in operating efficiency.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Other (Expenses) Income,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net, for the three months ended March 31, 2026 was $8,988, compared to total other income, net, of $15,071 for the three months ended March 31, 2025, representing a $24,059, or 159.6%, decrease in total other income, net. This decrease was due to the Company received a subsidy from the High-Value Industrial Promotion Fund in 2025.</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Comprehensive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income for the three months ended March 31, 2026 was $805,866, as compared to $640,981 for the three months ended March 31, 2025. The increase in total comprehensive income was attributed to the reasons mentioned above.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is the ability of an enterprise to generate adequate amounts of cash to meet its needs for cash requirements. We had cash of $992,886 and $3,792,033 as of March 31, 2026 and December 31,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uses of cash have been for inventory, payments to Amazon related to sales and shipping of products, for services provided, payments for marketing and advertising, and salaries paid to our employees. We have received funds from the sales of products that we sell online. The following trends are reasonably likely to result in changes in our liquidity over the near- to long-term:</w:t>
      </w:r>
    </w:p>
    <w:p>
      <w:pPr>
        <w:pStyle w:val="TextBody"/>
        <w:bidi w:val="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working capital requirements to finance the rapid growth in our current business;</w:t>
            </w:r>
          </w:p>
        </w:tc>
      </w:tr>
    </w:tbl>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fees paid to Amazon and other partners as our sales grow;</w:t>
            </w:r>
          </w:p>
        </w:tc>
      </w:tr>
    </w:tbl>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being a public company;</w:t>
            </w:r>
          </w:p>
        </w:tc>
      </w:tr>
    </w:tbl>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advertising expenses for attracting new customers;</w:t>
            </w:r>
          </w:p>
        </w:tc>
      </w:tr>
    </w:tbl>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requirements for the development of additional infrastructure; and</w:t>
            </w:r>
          </w:p>
        </w:tc>
      </w:tr>
    </w:tbl>
    <w:tbl>
      <w:tblPr>
        <w:tblW w:w="9798" w:type="dxa"/>
        <w:jc w:val="left"/>
        <w:tblInd w:w="0" w:type="dxa"/>
        <w:tblLayout w:type="fixed"/>
        <w:tblCellMar>
          <w:top w:w="0" w:type="dxa"/>
          <w:left w:w="0" w:type="dxa"/>
          <w:bottom w:w="0" w:type="dxa"/>
          <w:right w:w="0" w:type="dxa"/>
        </w:tblCellMar>
      </w:tblPr>
      <w:tblGrid>
        <w:gridCol w:w="38"/>
        <w:gridCol w:w="17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costs and inventory carrying requirements associated with import tariffs and global trade policy uncertainty.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liquidity from the profitability of our ongoing business, and from debt to fund our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our cash flows for the three months ended March 31, 2026 and 2025.</w:t>
      </w:r>
    </w:p>
    <w:p>
      <w:pPr>
        <w:pStyle w:val="TextBody"/>
        <w:bidi w:val="0"/>
        <w:jc w:val="both"/>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4265"/>
        <w:gridCol w:w="60"/>
        <w:gridCol w:w="125"/>
        <w:gridCol w:w="1025"/>
        <w:gridCol w:w="60"/>
        <w:gridCol w:w="60"/>
        <w:gridCol w:w="125"/>
        <w:gridCol w:w="845"/>
        <w:gridCol w:w="95"/>
      </w:tblGrid>
      <w:tr>
        <w:trPr/>
        <w:tc>
          <w:tcPr>
            <w:tcW w:w="4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Cash Flows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(2,201,403)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(5,662)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(720)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(600,000)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changes in foreign currency exchange rates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7,918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(2,799,147)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(859,459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3,792,033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2,119,581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 end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992,886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1,260,122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Operating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net cash used in operating activities amounted to $2,201,403, as compared to $23,891 of net cash used in operating activities for the three months ended March 31, 2025. The increase in net cash used in operating activities was primarily driven by higher inventory purchases during 2026. As part of our strategy to ensure product availability and mitigate supply chain risks under evolving trade policies and in light of discontinuation of Amazon’s labeling service, we invested more heavily in inventory.</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increase in revenues to $29,930,342 for the three months ended March 31, 2026, as compared to $25,837,090 for the three months ended March 31, 2025, the increase in revenues was offset by a corresponding increase in cost of revenues of $2,220,775 and an increase in operating expenses of $1,651,214.</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Investing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$5,662 in net cash was used in investing activities, compared to $720 in net cash used in investing activities for the three months ended March 31, 2025. The increase primarily reflects higher purchases of property and equipment for the three months ended March 31, 2026.</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Financing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net cash used in financing activities amounted to $600,000, as compared to net cash used in financing activities of $839,000 for the three months ended March 31, 2025. The cash outflow was primarily due to repayments made to related parties for the three months ended March 31, 2026 and 2025.</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Financing Arrangements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we do not have any long-term capital lease obligations, operating lease obligations or long-term liabilities.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Taishin International Bank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2022, Flywheel entered into a line of credit agreement in the amount of $6,940,063 with Taishin International Bank (“Taishin”). As amended, the line of credit matures on May 18, 2026 and bears interest at a rate of 3.42% per annum. As of March 31, 2026 and December 31, 2025, the outstanding balance under the Taishin line of credit was $626,076 and $637,348, respectively.</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Affiliated Loans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receive loans and advances from our stockholders to fund our operations. As of March 31, 2026, we had a total of $2,060,418 due to related parties, which included $2,060,418 in stockholder payables and $0 accrued for bonuses. As of December 31, 2025, we had a total of $3,810,418 due to related parties, which included $2,660,418 in stockholder payables and $1,150,000 accrued for bonuses. While stockholder payables are generally non-interest bearing and payable on demand, we and our stockholders have entered into loan agreements for loans with terms over one year.</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2021 Loan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2021, the Company, Mr. Lai and Ms. Yu entered into a loan agreement with a principal amount of $4,170,418. The loan is subordinated. As amended, the loan matures on December 31, 2026 and has an annual interest rate of 4.75%.</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operating leases (Flywheel has two office leases in Taiwan). The respective lease terms are June 10, 2025 to July 9, 2027, and December 1, 2025 to November 30, 2028, respectively.</w:t>
      </w:r>
    </w:p>
    <w:p>
      <w:pPr>
        <w:pStyle w:val="TextBody"/>
        <w:bidi w:val="0"/>
        <w:jc w:val="both"/>
        <w:rPr>
          <w:caps w:val="false"/>
          <w:smallCaps w:val="false"/>
        </w:rPr>
      </w:pPr>
      <w:r>
        <w:rPr>
          <w:caps w:val="false"/>
          <w:smallCaps w:val="false"/>
        </w:rPr>
        <w:t> </w:t>
      </w:r>
    </w:p>
    <w:tbl>
      <w:tblPr>
        <w:tblW w:w="5975" w:type="dxa"/>
        <w:jc w:val="left"/>
        <w:tblInd w:w="0" w:type="dxa"/>
        <w:tblLayout w:type="fixed"/>
        <w:tblCellMar>
          <w:top w:w="0" w:type="dxa"/>
          <w:left w:w="0" w:type="dxa"/>
          <w:bottom w:w="28" w:type="dxa"/>
          <w:right w:w="0" w:type="dxa"/>
        </w:tblCellMar>
      </w:tblPr>
      <w:tblGrid>
        <w:gridCol w:w="4865"/>
        <w:gridCol w:w="60"/>
        <w:gridCol w:w="140"/>
        <w:gridCol w:w="800"/>
        <w:gridCol w:w="110"/>
      </w:tblGrid>
      <w:tr>
        <w:trPr/>
        <w:tc>
          <w:tcPr>
            <w:tcW w:w="486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 Ending March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8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69,279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60,245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8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26,414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2029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8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155,938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effect of discounting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(5,129</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the future minimum lease 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150,809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operating lease liabilities-current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(90,728</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60,081</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 of Estimates</w:t>
      </w:r>
      <w:r>
        <w:rPr>
          <w:rFonts w:ascii="Times New Roman;Times;Serif" w:hAnsi="Times New Roman;Times;Serif"/>
          <w:b w:val="false"/>
          <w:i w:val="false"/>
          <w:caps w:val="false"/>
          <w:smallCaps w:val="false"/>
          <w:sz w:val="20"/>
        </w:rPr>
        <w:t xml:space="preserve"> -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estimates, include but not limited to, estimates associated with the collectability of accounts receivable, useful life of property and equipment, impairment of long-lived assets, valuation allowance for deferred tax assets, inventory valuation and inventory provision.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and Cash Equivalents</w:t>
      </w:r>
      <w:r>
        <w:rPr>
          <w:rFonts w:ascii="Times New Roman;Times;Serif" w:hAnsi="Times New Roman;Times;Serif"/>
          <w:b w:val="false"/>
          <w:i w:val="false"/>
          <w:caps w:val="false"/>
          <w:smallCaps w:val="false"/>
          <w:sz w:val="20"/>
        </w:rPr>
        <w:t xml:space="preserve"> - The Company considers all highly liquid financial instruments purchased with original maturities of three months or less to be cash. The Company’s cash is held in the bank and covered by the Federal Deposit Insurance Corporation (“FDIC”), subject to applicable limits. Deposits are insured up to $250,000 per depositor, per FDIC-insured bank, per ownership category. Cash equivalents and marketable securities are comprised of time deposits, money market funds, highly liquid government bonds, corporate debt securities, mortgage-backed and asset-backed securities, and marketable equity securities. The Company’s cash and cash equivalents primarily consisted of cash and money market funds. Such amounts are recorded at fair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Accounts Receivable and Allowance for Credit Losses</w:t>
      </w:r>
      <w:r>
        <w:rPr>
          <w:rFonts w:ascii="Times New Roman;Times;Serif" w:hAnsi="Times New Roman;Times;Serif"/>
          <w:b w:val="false"/>
          <w:i w:val="false"/>
          <w:caps w:val="false"/>
          <w:smallCaps w:val="false"/>
          <w:sz w:val="20"/>
        </w:rPr>
        <w:t xml:space="preserve"> - Accounts receivable are stated at historical cost less allowance for credit loss. On a periodic basis, management evaluates its accounts receivable and determines whether to provide an allowance for credit losses in accordance with the Financial Accounting Standards Board’s (“FASB”) Accounting Standards Codification (“ASC”) Topic 326. Credit losses are provided based on a past history of write-offs, collections, current credit conditions, current economic conditions, reasonable and supportable forecasts of future economic conditions. The evaluation is performed on a collective basis where similar characteristics exist, primarily based on similar services or products offerings. The Company adopted the standard effective January 1, 2023. The impact of the adoption was not considered material to the financial statements and primarily resulted in new/enhanced disclosures only. A receivable is considered past due if the Company has not received payments based on agreed-upon terms. The Company generally does not require any security or collateral to support its receivables. The collection is primarily through Amazon and the collection period is usually less than seven days. The Company performs on-going evaluations of its customers and maintains an allowance for credit losses as the Company deems necessary or appropriate. As of March 31, 2026 and December 31, 2025, the Company did not deem it necessary to have an allowance for credit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Inventory and Cost of Goods Sold</w:t>
      </w:r>
      <w:r>
        <w:rPr>
          <w:rFonts w:ascii="Times New Roman;Times;Serif" w:hAnsi="Times New Roman;Times;Serif"/>
          <w:b w:val="false"/>
          <w:i w:val="false"/>
          <w:caps w:val="false"/>
          <w:smallCaps w:val="false"/>
          <w:sz w:val="20"/>
        </w:rPr>
        <w:t xml:space="preserve"> - The Company’s inventory consists mainly of finished goods. Inventories are stated at the lower of cost or net realizable value. Cost is principally determined on a first-in-first-out basis. The Company’s costs include the amounts it pays manufacturers for product, tariffs and duties associated with transporting product across national borders, and freight costs associated with transporting the product from its manufacturers to its warehouses, as applicable. The merchandise with terms of FOB shipping point from vendors was recorded as the inventory-in-transit when inventory left the shipping dock of the vendors but not yet reached the receiving dock of the Company. Management continually evaluates its estimates and judgments including those related to merchandise inventory.</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revenues” line item in the unaudited consolidated statements of operations is principally inventory sold to customers during the reporting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 for inventory allowance: The Company writes down the cost of obsolete and slow-moving inventories to the estimated net realizable value, based on inventory obsolescence trends, historical experience, forecasted consumer demand and application of the specific identification method. As of March 31, 2026 and December 31, 2025, $409,455 and $447,841, respectively, were written down from the cost of inventories to their net realizable values. Full inventory allowance is recorded for the inventory SKU not sold for more than one year.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Property and Equipment</w:t>
      </w:r>
      <w:r>
        <w:rPr>
          <w:rFonts w:ascii="Times New Roman;Times;Serif" w:hAnsi="Times New Roman;Times;Serif"/>
          <w:b w:val="false"/>
          <w:i w:val="false"/>
          <w:caps w:val="false"/>
          <w:smallCaps w:val="false"/>
          <w:sz w:val="20"/>
        </w:rPr>
        <w:t xml:space="preserve"> - Property and equipment are recorded at cost and depreciated or amortized over the estimated useful life of the asset using the straight-line method. The Company elected to expense any individual property and equipment items under $2,500.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Company’s property and equipment is computers, and the estimated useful life is three years.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Impairment of Long-lived Assets</w:t>
      </w:r>
      <w:r>
        <w:rPr>
          <w:rFonts w:ascii="Times New Roman;Times;Serif" w:hAnsi="Times New Roman;Times;Serif"/>
          <w:b w:val="false"/>
          <w:i w:val="false"/>
          <w:caps w:val="false"/>
          <w:smallCaps w:val="false"/>
          <w:sz w:val="20"/>
        </w:rPr>
        <w:t>- In accordance with ASC 360-10-35-17, if the carrying amount of an asset or asset group (in use or under development) is evaluated and found not to be fully recoverable (the carrying amount exceeds the estimated gross, undiscounted cash flows from use and disposition), then an impairment loss must be recognized. The impairment loss is measured as the excess of the carrying amount over the asset’s (or asset group’s) fair value. The Company did not record any impairment charges for the three months ended March 31, 2026 and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Leases - </w:t>
      </w:r>
      <w:r>
        <w:rPr>
          <w:rFonts w:ascii="Times New Roman;Times;Serif" w:hAnsi="Times New Roman;Times;Serif"/>
          <w:b w:val="false"/>
          <w:i w:val="false"/>
          <w:caps w:val="false"/>
          <w:smallCaps w:val="false"/>
          <w:sz w:val="20"/>
        </w:rPr>
        <w:t>Leases are classified at lease commencement date as either a finance lease or an operating lease. A lease is a finance lease if it meets any of the following criteria: (a) the lease transfers ownership of the underlying asset to the lessee by the end of the lease term, (b) the lease grants the lessee an option to purchase the underlying asset that the lessee is reasonably certain to exercise, (c) the lease term is for the major part of the remaining economic life of the underlying asset, (d) the present value of the sum of the lease payments and any residual value guaranteed by the lessee that is not already reflected in the lease payments equals or exceeds substantially all of the fair value of the underlying asset or (e) the underlying asset is of such a specialized nature that it is expected to have no alternative use to the lessor at the end of the lease term. When none of the foregoing criteria is met, the lease shall be classified as an operating 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utilizes operating leases for its office space requirements. This means that the Company leases office space, categorizing the lease arrangement as an operating lease. Under this arrangement, the Company does not hold ownership of the leased assets but instead pays rent for the right to use them.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lessee, a lease is recognized as an operating lease right-of-use asset with a corresponding liability at lease commencement date. The lease liability is calculated at the present value of the lease payments not yet paid by using the lease term and discount rate determined at lease commencement. The operating lease right-of-use asset is calculated as the lease liability, increased by any initial direct costs, and prepaid lease payments, reduced by any lease incentives received before lease commencement. The operating lease right-of-use asset itself is amortized on a straight-line basis unless another systematic method better reflects how the underlying asset will be used by and benefits the lessee over the lease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Fair Value Measurement </w:t>
      </w:r>
      <w:r>
        <w:rPr>
          <w:rFonts w:ascii="Times New Roman;Times;Serif" w:hAnsi="Times New Roman;Times;Serif"/>
          <w:b w:val="false"/>
          <w:i w:val="false"/>
          <w:caps w:val="false"/>
          <w:smallCaps w:val="false"/>
          <w:sz w:val="20"/>
        </w:rPr>
        <w:t>-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carrying amounts reported in the consolidated balance sheets for cash and cash equivalents, accounts receivable, accounts payable, due to related parties and short-term debt at fair value or cost, which approximates fair value because of the short period of time between the origination of such instruments and their expected realization and their current market rates of interest.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Valuations based on quoted prices for identical assets and liabilities in active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Valuations based on unobservable inputs reflecting the Company’s own assumptions, consistent with reasonably available assumptions made by other market participants. These valuations require significant judgment.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Recognition</w:t>
      </w:r>
      <w:r>
        <w:rPr>
          <w:rFonts w:ascii="Times New Roman;Times;Serif" w:hAnsi="Times New Roman;Times;Serif"/>
          <w:b w:val="false"/>
          <w:i w:val="false"/>
          <w:caps w:val="false"/>
          <w:smallCaps w:val="false"/>
          <w:sz w:val="20"/>
        </w:rPr>
        <w:t xml:space="preserve"> - The Company accounts for revenues in accordance with ASC Topic 606, Revenue from Contracts with Customers. The Company adopted ASC Topic 606 as of January 1, 2019. The standard did not affect the Company’s consolidated financial position, or cash flows. There were no changes to the timing of revenue recognition as a result of the adoption.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revenues in accordance with ASC Topic 606, which provided a five-step model for recognizing revenues from contracts with customers as follows:</w:t>
      </w:r>
    </w:p>
    <w:p>
      <w:pPr>
        <w:pStyle w:val="TextBody"/>
        <w:bidi w:val="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performance obligations are satisfied.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revenues because the Company as principal owns and controls all the goods before they are transferred to the customer. The Company can, at any time, direct Amazon, similarly, other third-party logistics providers (“Logistics Providers”), to return the Company’s inventories to any location specified by the Company. It is the Company’s responsibility to make any returns made by customers directly to Logistics Providers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revenues from the sale of consumer products. The Company sells its products directly to consumers through online retail channels. The Company considers customer order confirmations to be a contract with the customer. For each contract, the promise to transfer products is identified as the sole performance obligation. Transaction prices are evaluated for potential refunds or adjustments, determining the net consideration expected. Revenues for the three months ended March 31, 2026 and 2025 were recognized at a point in time. Customer confirmations are executed at the time an order is placed through third-party online channels. For all of the Company’s sales and distribution channels, revenues are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can return products within 30 days after the products are delivered and estimated sales returns are calculated based on the expected returns. The rates of sales returns were 6.73% and 6.35% of gross sales for the three months ended March 31, 2026 and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offers price discounts on certain selected items to stimulate the sales of those items. Revenues are measured as the amount of consideration for which the Company expects to be entitled in exchange for transferring goods. Consistent with this policy, the Company reduces the amount of these discounts from the gross revenues to calculate the net revenues recorded on the statement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defined as the promise to transfer a distinct good, is the unit of account in ASC Topic 606. The Company treats shipping and handling as fulfillment activities, not separate performance obligations. Costs for shipping and handling were $6,407,406 and $5,748,972 for the three months ended March 31, 2026 and 2025, respectively, recorded as selling and marketing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Segment Information </w:t>
      </w:r>
      <w:r>
        <w:rPr>
          <w:rFonts w:ascii="Times New Roman;Times;Serif" w:hAnsi="Times New Roman;Times;Serif"/>
          <w:b w:val="false"/>
          <w:i w:val="false"/>
          <w:caps w:val="false"/>
          <w:smallCaps w:val="false"/>
          <w:sz w:val="20"/>
        </w:rPr>
        <w:t>– The Company has only one segment, which is online retail (e-commerce).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“management approach” to determine reportable operating segments. The management approach considers the internal organization and reporting used by the Company’s chief operating decision maker (“CODM”) for making operating decisions and assessing performance as the source for determining the Company’s reportable segments. The Company’s CODM has been identified as the chief executive officer of the Company who reviews financial information of separate operating segments based on U.S. GAAP. The CODM now reviews results analyzed by customers. This analysis is only presented at the revenue level with no allocation of direct or indirect costs. Consequently, the Company has determined that it has only one operating segment.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Taxes</w:t>
      </w:r>
      <w:r>
        <w:rPr>
          <w:rFonts w:ascii="Times New Roman;Times;Serif" w:hAnsi="Times New Roman;Times;Serif"/>
          <w:b w:val="false"/>
          <w:i w:val="false"/>
          <w:caps w:val="false"/>
          <w:smallCaps w:val="false"/>
          <w:sz w:val="20"/>
        </w:rPr>
        <w:t xml:space="preserve"> - Income tax expense includes U.S. (federal and state) and foreign 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complied with state tax codes and regulations, including with respect to California franchise taxes. Management has evaluated its tax positions and has concluded that the Company had taken no uncertain tax positions that could require adjustment or disclosure in the financial statements to comply with provisions set forth in ASC Section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represent amounts available to reduce income taxes payable in future periods. Deferred tax assets are evaluated for future realization and reduced by a valuation allowance to the extent the Company believe they will not be realized. The Company considers many factors when assessing the likelihood of future realization of its deferred tax assets, including recent cumulative loss experience and expectations of future earnings, capital gains and investment in such jurisdiction, the carry-forward periods available to the Company’s for tax reporting purposes, and other relevant factors.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Presentation of Sales Taxes</w:t>
      </w:r>
      <w:r>
        <w:rPr>
          <w:rFonts w:ascii="Times New Roman;Times;Serif" w:hAnsi="Times New Roman;Times;Serif"/>
          <w:b w:val="false"/>
          <w:i w:val="false"/>
          <w:caps w:val="false"/>
          <w:smallCaps w:val="false"/>
          <w:sz w:val="20"/>
        </w:rPr>
        <w:t xml:space="preserve"> - Governmental authorities impose sales tax on all of the Company’s sales to nonexempt customers. The Company collects sales tax from customers and remits the entire amount to the governmental authorities. The Company’s accounting policy is to exclude the tax collected and remitted from revenues and cost of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Concentration of Credit Risks -</w:t>
      </w:r>
      <w:r>
        <w:rPr>
          <w:rFonts w:ascii="Times New Roman;Times;Serif" w:hAnsi="Times New Roman;Times;Serif"/>
          <w:b w:val="false"/>
          <w:i w:val="false"/>
          <w:caps w:val="false"/>
          <w:smallCaps w:val="false"/>
          <w:sz w:val="20"/>
        </w:rPr>
        <w:t xml:space="preserve"> Financial instruments that potentially subject the Company to concentrations of credit risk consist primarily of cash and cash equivalents and accounts receivable. The Company maintains cash and cash equivalents with various domestic and foreign financial institutions of high credit quality. The Company performs periodic evaluations of the relative credit standing of all of the aforementioned institutions.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reserves for potential credit losses on customer accounts when deemed necessary. Significant customers are those which represent more than 10% of the Company’s total net revenues or gross accounts receivable balance at the balance sheet date. During the three months ended March 31, 2026 and 2025, the Company had no customer that accounted for 10% or more of total net revenues. In addition, as of March 31, 2026 and December 31, 2025, the Company had no customer that accounted for 10% or more of gross accounts receivable. As of March 31, 2026 and December 31, 2025, all of the Company’s accounts receivable were held by the Company’s sales platform agent, Amazon, which collects money on the Company’s behalf from its customers. Therefore, the Company’s accounts receivable are comprised of receivables due from Amazon and the reimbursement from Amazon to the Company usually takes approximately 14 days.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reliant on one key vendor which currently provides the Company with its sales platform, logistics and fulfillment operations, including certain warehousing for the Company’s net goods, and invoicing and collection of its revenues from the Company’s end customers. During the three months ended March 31, 2026 and 2025, approximately 98% and 99%, respectively, of the Company’s revenues was through or with the Amazon sales platform.</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Foreign Currency Exchange Risk</w:t>
      </w:r>
      <w:r>
        <w:rPr>
          <w:rFonts w:ascii="Times New Roman;Times;Serif" w:hAnsi="Times New Roman;Times;Serif"/>
          <w:b w:val="false"/>
          <w:i w:val="false"/>
          <w:caps w:val="false"/>
          <w:smallCaps w:val="false"/>
          <w:sz w:val="20"/>
        </w:rPr>
        <w:t xml:space="preserve"> - The Company is exposed to foreign currency exchange risk through its foreign subsidiary in Taiwan. The Company does not hedge foreign currency translation risk in the net assets and income reported from these 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Advertising and Promotion Expenses</w:t>
      </w:r>
      <w:r>
        <w:rPr>
          <w:rFonts w:ascii="Times New Roman;Times;Serif" w:hAnsi="Times New Roman;Times;Serif"/>
          <w:b w:val="false"/>
          <w:i w:val="false"/>
          <w:caps w:val="false"/>
          <w:smallCaps w:val="false"/>
          <w:sz w:val="20"/>
        </w:rPr>
        <w:t xml:space="preserve"> – The Company’s policy is to recognize advertising costs as they are incurred. Advertising and promotion expenses were $1,262,089 and $1,004,083 for the three months ended March 31, 2026 and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Commitments and Contingencies</w:t>
      </w:r>
      <w:r>
        <w:rPr>
          <w:rFonts w:ascii="Times New Roman;Times;Serif" w:hAnsi="Times New Roman;Times;Serif"/>
          <w:b w:val="false"/>
          <w:i w:val="false"/>
          <w:caps w:val="false"/>
          <w:smallCaps w:val="false"/>
          <w:sz w:val="20"/>
        </w:rPr>
        <w:t xml:space="preserve"> - 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xml:space="preserve"> - The Company accounts for related party transactions in accordance with FASB ASC Topic 850 (Related Party Disclosures). 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Earnings per Share - </w:t>
      </w:r>
      <w:r>
        <w:rPr>
          <w:rFonts w:ascii="Times New Roman;Times;Serif" w:hAnsi="Times New Roman;Times;Serif"/>
          <w:b w:val="false"/>
          <w:i w:val="false"/>
          <w:caps w:val="false"/>
          <w:smallCaps w:val="false"/>
          <w:sz w:val="20"/>
        </w:rPr>
        <w:t>The Company computes basic earnings per common share using the weighted-average number of shares of common stock outstanding during the period. For the period in which the Company reports net losses, diluted net loss per share attributable to stockholders is the same as basic net loss per share attributable to stockholders, because potentially dilutive common shares are not assumed to have been issued if their effect is anti-dilutive. There were no dilutive securities or other items that would affect earnings per share for the three months ended March 31, 2026 and 2025. Therefore, the diluted earnings per share is the same as the basic earnings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Shares Issued for Services</w:t>
      </w:r>
      <w:r>
        <w:rPr>
          <w:rFonts w:ascii="Times New Roman;Times;Serif" w:hAnsi="Times New Roman;Times;Serif"/>
          <w:b w:val="false"/>
          <w:i w:val="false"/>
          <w:caps w:val="false"/>
          <w:smallCaps w:val="false"/>
          <w:sz w:val="20"/>
        </w:rPr>
        <w:t xml:space="preserve"> – Stock-based compensation cost for all equity-classified stock awards expected to vest is measured at fair value on the date of grant and recognized over the service period.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61" w:name="aq_003"/>
      <w:bookmarkEnd w:id="561"/>
      <w:r>
        <w:rPr>
          <w:rFonts w:ascii="Times New Roman;Times;Serif" w:hAnsi="Times New Roman;Times;Serif"/>
          <w:b/>
          <w:i w:val="false"/>
          <w:caps w:val="false"/>
          <w:smallCaps w:val="false"/>
          <w:sz w:val="20"/>
        </w:rPr>
        <w:t>ITEM 3. QUANTITATIVE AND QUALITATIVE DISCLOSURES ABOUT MARKET RISK</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62" w:name="aq_004"/>
      <w:bookmarkEnd w:id="562"/>
      <w:r>
        <w:rPr>
          <w:rFonts w:ascii="Times New Roman;Times;Serif" w:hAnsi="Times New Roman;Times;Serif"/>
          <w:b/>
          <w:i w:val="false"/>
          <w:caps w:val="false"/>
          <w:smallCaps w:val="false"/>
          <w:sz w:val="20"/>
        </w:rPr>
        <w:t>ITEM 4. CONTROLS AND PROCEDURES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the effectiveness of our disclosure controls and procedures as of March 31, 2026, pursuant to Rule 13a-15(b) under the Exchange Act. Based upon that evaluation, our chief executive officer and our chief financial officer concluded that, as of March 31, 2026, our disclosure controls and procedures were effective.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63" w:name="aq_005"/>
      <w:bookmarkEnd w:id="563"/>
      <w:r>
        <w:rPr>
          <w:rFonts w:ascii="Times New Roman;Times;Serif" w:hAnsi="Times New Roman;Times;Serif"/>
          <w:b/>
          <w:i w:val="false"/>
          <w:caps w:val="false"/>
          <w:smallCaps w:val="false"/>
          <w:sz w:val="20"/>
        </w:rPr>
        <w:t>PART II - OTHER INFORMATION</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64" w:name="aq_006"/>
      <w:bookmarkEnd w:id="564"/>
      <w:r>
        <w:rPr>
          <w:rFonts w:ascii="Times New Roman;Times;Serif" w:hAnsi="Times New Roman;Times;Serif"/>
          <w:b/>
          <w:i w:val="false"/>
          <w:caps w:val="false"/>
          <w:smallCaps w:val="false"/>
          <w:sz w:val="20"/>
        </w:rPr>
        <w:t>ITEM 1. LEGAL PROCEEDINGS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various claims and legal actions arising in the ordinary course of business. To the knowledge of our management, there are no legal proceedings currently pending against us which we believe would have a material effect on our business, financial position or results of operations and, to the best of our knowledge, there are no such legal proceedings contemplated or threatened.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65" w:name="aq_007"/>
      <w:bookmarkEnd w:id="565"/>
      <w:r>
        <w:rPr>
          <w:rFonts w:ascii="Times New Roman;Times;Serif" w:hAnsi="Times New Roman;Times;Serif"/>
          <w:b/>
          <w:i w:val="false"/>
          <w:caps w:val="false"/>
          <w:smallCaps w:val="false"/>
          <w:sz w:val="20"/>
        </w:rPr>
        <w:t>ITEM 1A. RISK FACTORS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disclose material changes to the risk factors that were contained in our Annual Report on Form 10-K for the year ended December 31, 2025, as updated from time to time.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66" w:name="aq_008"/>
      <w:bookmarkEnd w:id="566"/>
      <w:r>
        <w:rPr>
          <w:rFonts w:ascii="Times New Roman;Times;Serif" w:hAnsi="Times New Roman;Times;Serif"/>
          <w:b/>
          <w:i w:val="false"/>
          <w:caps w:val="false"/>
          <w:smallCaps w:val="false"/>
          <w:sz w:val="20"/>
        </w:rPr>
        <w:t>ITEM 2. UNREGISTERED SALES OF EQUITY SECURITIES AND USE OF PROCEEDS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the Company issued 1,600 shares of Company common stock to each of Sam Lai, Maggie Yu, Michael Lenner, Alan Gao and Hillary Bui, with a fair market value of $1.8745 per share as compensation for the services as executives or directors of the Company pursuant to the terms of their respective Executive Employment Agreements or Director Agreements with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shares were issued pursuant to an exemption from the registration requirements of the Securities Act available to us by Section 4(a)(2) promulgated thereunder.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67" w:name="aq_009"/>
      <w:bookmarkEnd w:id="567"/>
      <w:r>
        <w:rPr>
          <w:rFonts w:ascii="Times New Roman;Times;Serif" w:hAnsi="Times New Roman;Times;Serif"/>
          <w:b/>
          <w:i w:val="false"/>
          <w:caps w:val="false"/>
          <w:smallCaps w:val="false"/>
          <w:sz w:val="20"/>
        </w:rPr>
        <w:t>ITEM 3. DEFAULTS UPON SENIOR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defaults in any material payments during the covered period.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68" w:name="aq_010"/>
      <w:bookmarkEnd w:id="568"/>
      <w:r>
        <w:rPr>
          <w:rFonts w:ascii="Times New Roman;Times;Serif" w:hAnsi="Times New Roman;Times;Serif"/>
          <w:b/>
          <w:i w:val="false"/>
          <w:caps w:val="false"/>
          <w:smallCaps w:val="false"/>
          <w:sz w:val="20"/>
        </w:rPr>
        <w:t>ITEM 4. MINE SAFETY DISCLOSURES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69" w:name="aq_011"/>
      <w:bookmarkEnd w:id="569"/>
      <w:r>
        <w:rPr>
          <w:rFonts w:ascii="Times New Roman;Times;Serif" w:hAnsi="Times New Roman;Times;Serif"/>
          <w:b/>
          <w:i w:val="false"/>
          <w:caps w:val="false"/>
          <w:smallCaps w:val="false"/>
          <w:sz w:val="20"/>
        </w:rPr>
        <w:t>ITEM 5. OTHER INFORMATION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have been no material changes to the procedures by which security holders may recommend nominees to our Board of Directors since we last provided disclosure in response to the requirements of Item 407(c)(3) of Regulation 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During the registrant’s last fiscal quarter, no director or officer </w:t>
      </w:r>
      <w:bookmarkStart w:id="570" w:name="xdx_901_eecd--NonRule10b51ArrAdoptedFlag"/>
      <w:bookmarkStart w:id="571" w:name="xdx_90E_eecd--Rule10b51ArrAdoptedFlag_db"/>
      <w:bookmarkEnd w:id="570"/>
      <w:bookmarkEnd w:id="571"/>
      <w:r>
        <w:rPr>
          <w:rFonts w:ascii="Times New Roman;Times;Serif" w:hAnsi="Times New Roman;Times;Serif"/>
          <w:b w:val="false"/>
          <w:i w:val="false"/>
          <w:caps w:val="false"/>
          <w:smallCaps w:val="false"/>
          <w:sz w:val="20"/>
        </w:rPr>
        <w:t xml:space="preserve">adopted or </w:t>
      </w:r>
      <w:bookmarkStart w:id="572" w:name="xdx_900_eecd--NonRule10b51ArrTrmntdFlag_"/>
      <w:bookmarkStart w:id="573" w:name="xdx_902_eecd--Rule10b51ArrTrmntdFlag_dbF"/>
      <w:bookmarkEnd w:id="572"/>
      <w:bookmarkEnd w:id="573"/>
      <w:r>
        <w:rPr>
          <w:rFonts w:ascii="Times New Roman;Times;Serif" w:hAnsi="Times New Roman;Times;Serif"/>
          <w:b w:val="false"/>
          <w:i w:val="false"/>
          <w:caps w:val="false"/>
          <w:smallCaps w:val="false"/>
          <w:sz w:val="20"/>
        </w:rPr>
        <w:t>terminated: (i) any contract, instruction or written plan for the purchase or sale of securities of the registrant intended to satisfy the affirmative defense conditions of Rule 10b5-1(c) (a “Rule 10b5-1 trading arrangement”); and/or (ii) any “non-Rule 10b5-1 trading arrangement” as defined in Item 408(c) of Regulation S-K.</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74" w:name="aq_012"/>
      <w:bookmarkEnd w:id="574"/>
      <w:r>
        <w:rPr>
          <w:rFonts w:ascii="Times New Roman;Times;Serif" w:hAnsi="Times New Roman;Times;Serif"/>
          <w:b/>
          <w:i w:val="false"/>
          <w:caps w:val="false"/>
          <w:smallCaps w:val="false"/>
          <w:sz w:val="20"/>
        </w:rPr>
        <w:t>ITEM 6. EXHIBITS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3"/>
        <w:gridCol w:w="60"/>
        <w:gridCol w:w="9152"/>
      </w:tblGrid>
      <w:tr>
        <w:trPr/>
        <w:tc>
          <w:tcPr>
            <w:tcW w:w="99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Amendment to Bylaws of the registrant, dated March 16, 2026 (incorporated by reference to Exhibit 3.1 to the registrant’s Current Report on Form 8-K filed with the SEC on March 17, 2026).</w:t>
              </w:r>
            </w:hyperlink>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Description of Capital Stock (incorporated by reference to Exhibit 4.1 to the registrant’s Annual Report on Form 10-K filed with the SEC on March 24, 2026)</w:t>
              </w:r>
            </w:hyperlink>
            <w:r>
              <w:rPr>
                <w:rFonts w:ascii="Times New Roman;Times;Serif" w:hAnsi="Times New Roman;Times;Serif"/>
                <w:b w:val="false"/>
                <w:i w:val="false"/>
                <w:caps w:val="false"/>
                <w:smallCaps w:val="false"/>
                <w:sz w:val="20"/>
              </w:rPr>
              <w:t>.</w:t>
            </w:r>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Addendum No. 6 to Executive Employment Agreement, dated as of February 24, 2026, between the registrant and Sam Lai (incorporated by reference to Exhibit 10.1 to the registrant’s Current Report on Form 8-K filed with the SEC on February 25, 2026).</w:t>
              </w:r>
            </w:hyperlink>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Addendum No. 6 to Executive Employment Agreement, dated as of February 24, 2026, between the registrant and Sau Kuen Yu (incorporated by reference to Exhibit 10.2 to the registrant’s Current Report on Form 8-K filed with the SEC on February 25, 2026).</w:t>
              </w:r>
            </w:hyperlink>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Rule 13a-14(a) Certification of Principal Executive Officer.</w:t>
              </w:r>
            </w:hyperlink>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Rule 13a-14(a) Certification of Principal Financial Officer.</w:t>
              </w:r>
            </w:hyperlink>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of Principal Executive Officer and Principal Financial Officer.</w:t>
              </w:r>
            </w:hyperlink>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w:t>
            </w:r>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w:t>
            </w:r>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w:t>
            </w:r>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w:t>
            </w:r>
          </w:p>
        </w:tc>
      </w:tr>
      <w:tr>
        <w:trPr/>
        <w:tc>
          <w:tcPr>
            <w:tcW w:w="99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45"/>
        <w:gridCol w:w="510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0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Furnished herewith.</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contracts, compensation plans and arrangements.</w:t>
            </w:r>
          </w:p>
        </w:tc>
      </w:tr>
    </w:tbl>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75" w:name="aq_013"/>
      <w:bookmarkEnd w:id="575"/>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caused this report to be signed on its behalf by the undersigned, thereto duly authorized.</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9"/>
        <w:gridCol w:w="301"/>
        <w:gridCol w:w="8515"/>
      </w:tblGrid>
      <w:tr>
        <w:trPr/>
        <w:tc>
          <w:tcPr>
            <w:tcW w:w="1389" w:type="dxa"/>
            <w:tcBorders/>
            <w:vAlign w:val="center"/>
          </w:tcPr>
          <w:p>
            <w:pPr>
              <w:pStyle w:val="TableContents"/>
              <w:bidi w:val="0"/>
              <w:spacing w:before="0" w:after="283"/>
              <w:jc w:val="left"/>
              <w:rPr>
                <w:caps w:val="false"/>
                <w:smallCaps w:val="false"/>
              </w:rPr>
            </w:pPr>
            <w:r>
              <w:rPr>
                <w:caps w:val="false"/>
                <w:smallCaps w:val="false"/>
              </w:rPr>
              <w:t> </w:t>
            </w:r>
          </w:p>
        </w:tc>
        <w:tc>
          <w:tcPr>
            <w:tcW w:w="8816"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tc>
      </w:tr>
      <w:tr>
        <w:trPr/>
        <w:tc>
          <w:tcPr>
            <w:tcW w:w="1389"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both"/>
              <w:rPr>
                <w:caps w:val="false"/>
                <w:smallCaps w:val="false"/>
              </w:rPr>
            </w:pPr>
            <w:r>
              <w:rPr>
                <w:caps w:val="false"/>
                <w:smallCaps w:val="false"/>
              </w:rPr>
              <w:t> </w:t>
            </w:r>
          </w:p>
        </w:tc>
        <w:tc>
          <w:tcPr>
            <w:tcW w:w="8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12, 2026</w:t>
            </w:r>
          </w:p>
        </w:tc>
        <w:tc>
          <w:tcPr>
            <w:tcW w:w="3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51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Lai</w:t>
            </w:r>
          </w:p>
        </w:tc>
      </w:tr>
      <w:tr>
        <w:trPr/>
        <w:tc>
          <w:tcPr>
            <w:tcW w:w="1389"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both"/>
              <w:rPr>
                <w:caps w:val="false"/>
                <w:smallCaps w:val="false"/>
              </w:rPr>
            </w:pPr>
            <w:r>
              <w:rPr>
                <w:caps w:val="false"/>
                <w:smallCaps w:val="false"/>
              </w:rPr>
              <w:t> </w:t>
            </w:r>
          </w:p>
        </w:tc>
        <w:tc>
          <w:tcPr>
            <w:tcW w:w="8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r>
      <w:tr>
        <w:trPr/>
        <w:tc>
          <w:tcPr>
            <w:tcW w:w="1389"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both"/>
              <w:rPr>
                <w:caps w:val="false"/>
                <w:smallCaps w:val="false"/>
              </w:rPr>
            </w:pPr>
            <w:r>
              <w:rPr>
                <w:caps w:val="false"/>
                <w:smallCaps w:val="false"/>
              </w:rPr>
              <w:t> </w:t>
            </w:r>
          </w:p>
        </w:tc>
        <w:tc>
          <w:tcPr>
            <w:tcW w:w="8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 (principal executive officer, principal financial officer and principal accounting officer)</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jc w:val="left"/>
        <w:rPr>
          <w:caps w:val="false"/>
          <w:smallCaps w:val="false"/>
        </w:rPr>
      </w:pPr>
      <w:r>
        <w:rPr>
          <w:caps w:val="false"/>
          <w:smallCaps w:val="false"/>
        </w:rPr>
        <w:t> </w:t>
      </w:r>
    </w:p>
    <w:p>
      <w:pPr>
        <w:pStyle w:val="TextBody"/>
        <w:bidi w:val="0"/>
        <w:jc w:val="left"/>
        <w:rPr/>
      </w:pPr>
      <w:bookmarkStart w:id="576" w:name="ex31-1.htm"/>
      <w:bookmarkStart w:id="577" w:name="ksex311"/>
      <w:bookmarkEnd w:id="576"/>
      <w:bookmarkEnd w:id="577"/>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Sam Lai, certify that: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quarter ended March 31, 2026 of Hour Loop,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12, 2026</w:t>
      </w:r>
    </w:p>
    <w:p>
      <w:pPr>
        <w:pStyle w:val="TextBody"/>
        <w:bidi w:val="0"/>
        <w:jc w:val="center"/>
        <w:rPr>
          <w:caps w:val="false"/>
          <w:smallCaps w:val="false"/>
        </w:rPr>
      </w:pPr>
      <w:r>
        <w:rPr>
          <w:caps w:val="false"/>
          <w:smallCaps w:val="false"/>
        </w:rPr>
        <w:t> </w:t>
      </w:r>
    </w:p>
    <w:tbl>
      <w:tblPr>
        <w:tblW w:w="4955" w:type="dxa"/>
        <w:jc w:val="left"/>
        <w:tblInd w:w="0" w:type="dxa"/>
        <w:tblLayout w:type="fixed"/>
        <w:tblCellMar>
          <w:top w:w="0" w:type="dxa"/>
          <w:left w:w="0" w:type="dxa"/>
          <w:bottom w:w="28" w:type="dxa"/>
          <w:right w:w="0" w:type="dxa"/>
        </w:tblCellMar>
      </w:tblPr>
      <w:tblGrid>
        <w:gridCol w:w="4880"/>
        <w:gridCol w:w="75"/>
      </w:tblGrid>
      <w:tr>
        <w:trPr/>
        <w:tc>
          <w:tcPr>
            <w:tcW w:w="48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Lai</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and Interim Chief Financial Officer </w:t>
              <w:br/>
              <w:t>(principal financial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righ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pPr>
      <w:bookmarkStart w:id="578" w:name="ex31-2.htm"/>
      <w:bookmarkStart w:id="579" w:name="ksex312"/>
      <w:bookmarkEnd w:id="578"/>
      <w:bookmarkEnd w:id="579"/>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Sam Lai, certify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quarter ended March 31, 2026 of Hour Loop,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12, 2026</w:t>
      </w:r>
    </w:p>
    <w:p>
      <w:pPr>
        <w:pStyle w:val="TextBody"/>
        <w:bidi w:val="0"/>
        <w:jc w:val="center"/>
        <w:rPr>
          <w:caps w:val="false"/>
          <w:smallCaps w:val="false"/>
        </w:rPr>
      </w:pPr>
      <w:r>
        <w:rPr>
          <w:caps w:val="false"/>
          <w:smallCaps w:val="false"/>
        </w:rPr>
        <w:t> </w:t>
      </w:r>
    </w:p>
    <w:tbl>
      <w:tblPr>
        <w:tblW w:w="4955" w:type="dxa"/>
        <w:jc w:val="left"/>
        <w:tblInd w:w="0" w:type="dxa"/>
        <w:tblLayout w:type="fixed"/>
        <w:tblCellMar>
          <w:top w:w="0" w:type="dxa"/>
          <w:left w:w="0" w:type="dxa"/>
          <w:bottom w:w="28" w:type="dxa"/>
          <w:right w:w="0" w:type="dxa"/>
        </w:tblCellMar>
      </w:tblPr>
      <w:tblGrid>
        <w:gridCol w:w="4880"/>
        <w:gridCol w:w="75"/>
      </w:tblGrid>
      <w:tr>
        <w:trPr/>
        <w:tc>
          <w:tcPr>
            <w:tcW w:w="48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Lai</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and Interim Chief Financial Officer </w:t>
              <w:br/>
              <w:t>(principal financial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righ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pPr>
      <w:bookmarkStart w:id="580" w:name="ex32-1.htm"/>
      <w:bookmarkStart w:id="581" w:name="ksex321"/>
      <w:bookmarkEnd w:id="580"/>
      <w:bookmarkEnd w:id="581"/>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Hour Loop, Inc. (the “Company”) for the quarter ended March 31, 2026 as filed with the Securities and Exchange Commission (the “Report”), I, Sam Lai, Chief Executive Officer and Interim Chief Financial Officer of the Company, certify, pursuant to 18 U.S.C. Section 1350, as adopted pursuant to Section 906 of the Sarbanes-Oxley Act of 2002, that to the best of my knowledge:</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bidi w:val="0"/>
        <w:jc w:val="center"/>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1655"/>
        <w:gridCol w:w="4880"/>
      </w:tblGrid>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12, 2026</w:t>
            </w:r>
          </w:p>
        </w:tc>
        <w:tc>
          <w:tcPr>
            <w:tcW w:w="48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Lai</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and Interim Chief Financial Officer </w:t>
              <w:br/>
              <w:t>(principal executive officer and principal financial officer)</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certification accompanies this Quarterly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jc w:val="both"/>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4875/000149315226010532/ex3-1.htm" TargetMode="External"/><Relationship Id="rId3" Type="http://schemas.openxmlformats.org/officeDocument/2006/relationships/hyperlink" Target="https://www.sec.gov/Archives/edgar/data/1874875/000149315226012278/ex4-1.htm" TargetMode="External"/><Relationship Id="rId4" Type="http://schemas.openxmlformats.org/officeDocument/2006/relationships/hyperlink" Target="https://www.sec.gov/Archives/edgar/data/1874875/000149315226008036/ex10-1.htm" TargetMode="External"/><Relationship Id="rId5" Type="http://schemas.openxmlformats.org/officeDocument/2006/relationships/hyperlink" Target="https://www.sec.gov/Archives/edgar/data/1874875/000149315226008036/ex10-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18117</Words>
  <Characters>99319</Characters>
  <CharactersWithSpaces>118433</CharactersWithSpaces>
  <Paragraphs>4006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