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u w:val="single" w:color="auto"/>
          <w:color w:val="auto"/>
        </w:rPr>
        <w:t>May 12,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HOUR LOOP,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080" w:type="dxa"/>
            <w:vAlign w:val="bottom"/>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420" w:type="dxa"/>
            <w:vAlign w:val="bottom"/>
            <w:gridSpan w:val="6"/>
          </w:tcPr>
          <w:p>
            <w:pPr>
              <w:jc w:val="center"/>
              <w:ind w:left="1590"/>
              <w:spacing w:after="0"/>
              <w:rPr>
                <w:sz w:val="20"/>
                <w:szCs w:val="20"/>
                <w:color w:val="auto"/>
              </w:rPr>
            </w:pPr>
            <w:r>
              <w:rPr>
                <w:rFonts w:ascii="Times New Roman" w:cs="Times New Roman" w:eastAsia="Times New Roman" w:hAnsi="Times New Roman"/>
                <w:sz w:val="18"/>
                <w:szCs w:val="18"/>
                <w:b w:val="1"/>
                <w:bCs w:val="1"/>
                <w:color w:val="auto"/>
                <w:w w:val="99"/>
              </w:rPr>
              <w:t>001-41204</w:t>
            </w: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2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rPr>
              <w:t>47-2869399</w:t>
            </w:r>
          </w:p>
        </w:tc>
      </w:tr>
      <w:tr>
        <w:trPr>
          <w:trHeight w:val="191"/>
        </w:trPr>
        <w:tc>
          <w:tcPr>
            <w:tcW w:w="3080" w:type="dxa"/>
            <w:vAlign w:val="bottom"/>
            <w:tcBorders>
              <w:top w:val="single" w:sz="8" w:color="auto"/>
            </w:tcBorders>
          </w:tcPr>
          <w:p>
            <w:pPr>
              <w:jc w:val="center"/>
              <w:ind w:left="450"/>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5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700" w:type="dxa"/>
            <w:vAlign w:val="bottom"/>
            <w:tcBorders>
              <w:top w:val="single" w:sz="8" w:color="auto"/>
            </w:tcBorders>
            <w:gridSpan w:val="4"/>
          </w:tcPr>
          <w:p>
            <w:pPr>
              <w:jc w:val="center"/>
              <w:ind w:right="900"/>
              <w:spacing w:after="0" w:line="191" w:lineRule="exact"/>
              <w:rPr>
                <w:sz w:val="20"/>
                <w:szCs w:val="20"/>
                <w:color w:val="auto"/>
              </w:rPr>
            </w:pPr>
            <w:r>
              <w:rPr>
                <w:rFonts w:ascii="Times New Roman" w:cs="Times New Roman" w:eastAsia="Times New Roman" w:hAnsi="Times New Roman"/>
                <w:sz w:val="18"/>
                <w:szCs w:val="18"/>
                <w:color w:val="auto"/>
                <w:w w:val="98"/>
              </w:rPr>
              <w:t>(Commission</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3020" w:type="dxa"/>
            <w:vAlign w:val="bottom"/>
            <w:tcBorders>
              <w:top w:val="single" w:sz="8" w:color="auto"/>
            </w:tcBorders>
          </w:tcPr>
          <w:p>
            <w:pPr>
              <w:jc w:val="center"/>
              <w:ind w:right="49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0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80" w:type="dxa"/>
            <w:vAlign w:val="bottom"/>
            <w:gridSpan w:val="7"/>
          </w:tcPr>
          <w:p>
            <w:pPr>
              <w:jc w:val="center"/>
              <w:ind w:right="1680"/>
              <w:spacing w:after="0"/>
              <w:rPr>
                <w:sz w:val="20"/>
                <w:szCs w:val="20"/>
                <w:color w:val="auto"/>
              </w:rPr>
            </w:pPr>
            <w:r>
              <w:rPr>
                <w:rFonts w:ascii="Times New Roman" w:cs="Times New Roman" w:eastAsia="Times New Roman" w:hAnsi="Times New Roman"/>
                <w:sz w:val="18"/>
                <w:szCs w:val="18"/>
                <w:color w:val="auto"/>
                <w:w w:val="98"/>
              </w:rPr>
              <w:t>File Number)</w:t>
            </w:r>
          </w:p>
        </w:tc>
        <w:tc>
          <w:tcPr>
            <w:tcW w:w="302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391"/>
        </w:trPr>
        <w:tc>
          <w:tcPr>
            <w:tcW w:w="3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0" w:type="dxa"/>
            <w:vAlign w:val="bottom"/>
            <w:gridSpan w:val="9"/>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8201 164th Ave NE #200, Redmond, WA 98052-7615</w:t>
            </w:r>
          </w:p>
        </w:tc>
        <w:tc>
          <w:tcPr>
            <w:tcW w:w="3020" w:type="dxa"/>
            <w:vAlign w:val="bottom"/>
          </w:tcPr>
          <w:p>
            <w:pPr>
              <w:spacing w:after="0"/>
              <w:rPr>
                <w:sz w:val="24"/>
                <w:szCs w:val="24"/>
                <w:color w:val="auto"/>
              </w:rPr>
            </w:pPr>
          </w:p>
        </w:tc>
      </w:tr>
      <w:tr>
        <w:trPr>
          <w:trHeight w:val="237"/>
        </w:trPr>
        <w:tc>
          <w:tcPr>
            <w:tcW w:w="3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780" w:type="dxa"/>
            <w:vAlign w:val="bottom"/>
            <w:tcBorders>
              <w:top w:val="single" w:sz="8" w:color="auto"/>
            </w:tcBorders>
            <w:gridSpan w:val="6"/>
          </w:tcPr>
          <w:p>
            <w:pPr>
              <w:jc w:val="center"/>
              <w:ind w:right="20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600" w:type="dxa"/>
            <w:vAlign w:val="bottom"/>
            <w:gridSpan w:val="2"/>
          </w:tcPr>
          <w:p>
            <w:pPr>
              <w:spacing w:after="0"/>
              <w:rPr>
                <w:sz w:val="20"/>
                <w:szCs w:val="20"/>
                <w:color w:val="auto"/>
              </w:rPr>
            </w:pPr>
          </w:p>
        </w:tc>
        <w:tc>
          <w:tcPr>
            <w:tcW w:w="3020" w:type="dxa"/>
            <w:vAlign w:val="bottom"/>
          </w:tcPr>
          <w:p>
            <w:pPr>
              <w:spacing w:after="0"/>
              <w:rPr>
                <w:sz w:val="20"/>
                <w:szCs w:val="20"/>
                <w:color w:val="auto"/>
              </w:rPr>
            </w:pPr>
          </w:p>
        </w:tc>
      </w:tr>
      <w:tr>
        <w:trPr>
          <w:trHeight w:val="392"/>
        </w:trPr>
        <w:tc>
          <w:tcPr>
            <w:tcW w:w="3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80" w:type="dxa"/>
            <w:vAlign w:val="bottom"/>
            <w:gridSpan w:val="7"/>
          </w:tcPr>
          <w:p>
            <w:pPr>
              <w:jc w:val="center"/>
              <w:ind w:right="1720"/>
              <w:spacing w:after="0"/>
              <w:rPr>
                <w:sz w:val="20"/>
                <w:szCs w:val="20"/>
                <w:color w:val="auto"/>
              </w:rPr>
            </w:pPr>
            <w:r>
              <w:rPr>
                <w:rFonts w:ascii="Times New Roman" w:cs="Times New Roman" w:eastAsia="Times New Roman" w:hAnsi="Times New Roman"/>
                <w:sz w:val="18"/>
                <w:szCs w:val="18"/>
                <w:b w:val="1"/>
                <w:bCs w:val="1"/>
                <w:color w:val="auto"/>
                <w:w w:val="99"/>
              </w:rPr>
              <w:t>(206) 385-0488 ext. 100</w:t>
            </w:r>
          </w:p>
        </w:tc>
        <w:tc>
          <w:tcPr>
            <w:tcW w:w="3020" w:type="dxa"/>
            <w:vAlign w:val="bottom"/>
          </w:tcPr>
          <w:p>
            <w:pPr>
              <w:spacing w:after="0"/>
              <w:rPr>
                <w:sz w:val="24"/>
                <w:szCs w:val="24"/>
                <w:color w:val="auto"/>
              </w:rPr>
            </w:pPr>
          </w:p>
        </w:tc>
      </w:tr>
      <w:tr>
        <w:trPr>
          <w:trHeight w:val="20"/>
        </w:trPr>
        <w:tc>
          <w:tcPr>
            <w:tcW w:w="3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236"/>
        </w:trPr>
        <w:tc>
          <w:tcPr>
            <w:tcW w:w="3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0" w:type="dxa"/>
            <w:vAlign w:val="bottom"/>
            <w:gridSpan w:val="9"/>
          </w:tcPr>
          <w:p>
            <w:pPr>
              <w:jc w:val="center"/>
              <w:ind w:right="60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020" w:type="dxa"/>
            <w:vAlign w:val="bottom"/>
          </w:tcPr>
          <w:p>
            <w:pPr>
              <w:spacing w:after="0"/>
              <w:rPr>
                <w:sz w:val="20"/>
                <w:szCs w:val="20"/>
                <w:color w:val="auto"/>
              </w:rPr>
            </w:pPr>
          </w:p>
        </w:tc>
      </w:tr>
      <w:tr>
        <w:trPr>
          <w:trHeight w:val="391"/>
        </w:trPr>
        <w:tc>
          <w:tcPr>
            <w:tcW w:w="3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w:t>
            </w:r>
          </w:p>
        </w:tc>
        <w:tc>
          <w:tcPr>
            <w:tcW w:w="2440" w:type="dxa"/>
            <w:vAlign w:val="bottom"/>
            <w:gridSpan w:val="5"/>
          </w:tcPr>
          <w:p>
            <w:pPr>
              <w:spacing w:after="0"/>
              <w:rPr>
                <w:sz w:val="24"/>
                <w:szCs w:val="24"/>
                <w:color w:val="auto"/>
              </w:rPr>
            </w:pPr>
          </w:p>
        </w:tc>
        <w:tc>
          <w:tcPr>
            <w:tcW w:w="3020" w:type="dxa"/>
            <w:vAlign w:val="bottom"/>
          </w:tcPr>
          <w:p>
            <w:pPr>
              <w:spacing w:after="0"/>
              <w:rPr>
                <w:sz w:val="24"/>
                <w:szCs w:val="24"/>
                <w:color w:val="auto"/>
              </w:rPr>
            </w:pPr>
          </w:p>
        </w:tc>
      </w:tr>
      <w:tr>
        <w:trPr>
          <w:trHeight w:val="237"/>
        </w:trPr>
        <w:tc>
          <w:tcPr>
            <w:tcW w:w="3080" w:type="dxa"/>
            <w:vAlign w:val="bottom"/>
          </w:tcPr>
          <w:p>
            <w:pPr>
              <w:spacing w:after="0"/>
              <w:rPr>
                <w:sz w:val="20"/>
                <w:szCs w:val="20"/>
                <w:color w:val="auto"/>
              </w:rPr>
            </w:pPr>
          </w:p>
        </w:tc>
        <w:tc>
          <w:tcPr>
            <w:tcW w:w="5140" w:type="dxa"/>
            <w:vAlign w:val="bottom"/>
            <w:gridSpan w:val="10"/>
          </w:tcPr>
          <w:p>
            <w:pPr>
              <w:jc w:val="center"/>
              <w:ind w:right="4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302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0"/>
        </w:trPr>
        <w:tc>
          <w:tcPr>
            <w:tcW w:w="4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24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HOUR</w:t>
            </w:r>
          </w:p>
        </w:tc>
        <w:tc>
          <w:tcPr>
            <w:tcW w:w="220" w:type="dxa"/>
            <w:vAlign w:val="bottom"/>
            <w:tcBorders>
              <w:top w:val="single" w:sz="8" w:color="CCEEFF"/>
            </w:tcBorders>
            <w:shd w:val="clear" w:color="auto" w:fill="CCEEFF"/>
          </w:tcPr>
          <w:p>
            <w:pPr>
              <w:spacing w:after="0"/>
              <w:rPr>
                <w:sz w:val="18"/>
                <w:szCs w:val="18"/>
                <w:color w:val="auto"/>
              </w:rPr>
            </w:pPr>
          </w:p>
        </w:tc>
        <w:tc>
          <w:tcPr>
            <w:tcW w:w="4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12, 2026, Hour Loop, Inc. (the “Company”) issued a press release announcing its financial and operational results for the quarter ended March 31, 2026, and reaffirming net revenue and net income guidance for the year ending December 31, 2026. A copy of this press release is attached hereto as Exhibit 99.1 and incorporated herein by reference. The information contained in the website is not a part of this current report on Form 8-K.</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included in this Item 2.02, including Exhibit 99.1, shall not be deemed to be “filed” for purposes of Section 18 of the Securities Exchange Act of 1934, as amended (the “Exchange Act”), or otherwise subject to the liabilities of that section, nor shall such information be deemed incorporated by reference in any filing under the Securities Act of 1933, as amended, or the Exchange Act, except as shall be expressly set forth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ind w:left="60"/>
        <w:spacing w:after="0"/>
        <w:tabs>
          <w:tab w:leader="none" w:pos="1080" w:val="left"/>
        </w:tabs>
        <w:rPr>
          <w:sz w:val="20"/>
          <w:szCs w:val="20"/>
          <w:color w:val="auto"/>
        </w:rPr>
      </w:pPr>
      <w:r>
        <w:rPr>
          <w:rFonts w:ascii="Times New Roman" w:cs="Times New Roman" w:eastAsia="Times New Roman" w:hAnsi="Times New Roman"/>
          <w:sz w:val="18"/>
          <w:szCs w:val="18"/>
          <w:b w:val="1"/>
          <w:bCs w:val="1"/>
          <w:u w:val="single" w:color="auto"/>
          <w:color w:val="auto"/>
        </w:rPr>
        <w:t>Exhibit 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19685</wp:posOffset>
            </wp:positionV>
            <wp:extent cx="64376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37630" cy="8255"/>
                    </a:xfrm>
                    <a:prstGeom prst="rect">
                      <a:avLst/>
                    </a:prstGeom>
                    <a:noFill/>
                  </pic:spPr>
                </pic:pic>
              </a:graphicData>
            </a:graphic>
          </wp:anchor>
        </w:drawing>
      </w:r>
    </w:p>
    <w:p>
      <w:pPr>
        <w:spacing w:after="0" w:line="11" w:lineRule="exact"/>
        <w:rPr>
          <w:sz w:val="20"/>
          <w:szCs w:val="20"/>
          <w:color w:val="auto"/>
        </w:rPr>
      </w:pPr>
    </w:p>
    <w:p>
      <w:pPr>
        <w:ind w:left="340"/>
        <w:spacing w:after="0"/>
        <w:tabs>
          <w:tab w:leader="none" w:pos="10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issued by the registrant on May 12, 2026.</w:t>
      </w:r>
    </w:p>
    <w:p>
      <w:pPr>
        <w:spacing w:after="0" w:line="23" w:lineRule="exact"/>
        <w:rPr>
          <w:sz w:val="20"/>
          <w:szCs w:val="20"/>
          <w:color w:val="auto"/>
        </w:rPr>
      </w:pPr>
    </w:p>
    <w:p>
      <w:pPr>
        <w:ind w:left="360"/>
        <w:spacing w:after="0"/>
        <w:tabs>
          <w:tab w:leader="none" w:pos="10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7660" w:type="dxa"/>
            <w:vAlign w:val="bottom"/>
            <w:gridSpan w:val="2"/>
          </w:tcPr>
          <w:p>
            <w:pPr>
              <w:ind w:left="2060"/>
              <w:spacing w:after="0"/>
              <w:rPr>
                <w:sz w:val="20"/>
                <w:szCs w:val="20"/>
                <w:color w:val="auto"/>
              </w:rPr>
            </w:pPr>
            <w:r>
              <w:rPr>
                <w:rFonts w:ascii="Times New Roman" w:cs="Times New Roman" w:eastAsia="Times New Roman" w:hAnsi="Times New Roman"/>
                <w:sz w:val="18"/>
                <w:szCs w:val="18"/>
                <w:b w:val="1"/>
                <w:bCs w:val="1"/>
                <w:color w:val="auto"/>
              </w:rPr>
              <w:t>HOUR LOOP, INC.</w:t>
            </w: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Dated: May 12, 2026</w:t>
            </w:r>
          </w:p>
        </w:tc>
        <w:tc>
          <w:tcPr>
            <w:tcW w:w="26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Sam Lai</w:t>
            </w:r>
          </w:p>
        </w:tc>
      </w:tr>
      <w:tr>
        <w:trPr>
          <w:trHeight w:val="191"/>
        </w:trPr>
        <w:tc>
          <w:tcPr>
            <w:tcW w:w="3580" w:type="dxa"/>
            <w:vAlign w:val="bottom"/>
          </w:tcPr>
          <w:p>
            <w:pPr>
              <w:spacing w:after="0"/>
              <w:rPr>
                <w:sz w:val="16"/>
                <w:szCs w:val="16"/>
                <w:color w:val="auto"/>
              </w:rPr>
            </w:pPr>
          </w:p>
        </w:tc>
        <w:tc>
          <w:tcPr>
            <w:tcW w:w="2620" w:type="dxa"/>
            <w:vAlign w:val="bottom"/>
          </w:tcPr>
          <w:p>
            <w:pPr>
              <w:ind w:left="20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Sam Lai</w:t>
            </w:r>
          </w:p>
        </w:tc>
      </w:tr>
      <w:tr>
        <w:trPr>
          <w:trHeight w:val="234"/>
        </w:trPr>
        <w:tc>
          <w:tcPr>
            <w:tcW w:w="3580" w:type="dxa"/>
            <w:vAlign w:val="bottom"/>
          </w:tcPr>
          <w:p>
            <w:pPr>
              <w:spacing w:after="0"/>
              <w:rPr>
                <w:sz w:val="20"/>
                <w:szCs w:val="20"/>
                <w:color w:val="auto"/>
              </w:rPr>
            </w:pPr>
          </w:p>
        </w:tc>
        <w:tc>
          <w:tcPr>
            <w:tcW w:w="26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Interim Chief Financial Officer</w:t>
            </w:r>
          </w:p>
        </w:tc>
      </w:tr>
      <w:tr>
        <w:trPr>
          <w:trHeight w:val="432"/>
        </w:trPr>
        <w:tc>
          <w:tcPr>
            <w:tcW w:w="35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654175" cy="6254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54175"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Hour Loop Reports First Quarter of 2026 Results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Continued Profitability Despite a Challenging Economic Environment</w:t>
      </w:r>
    </w:p>
    <w:p>
      <w:pPr>
        <w:spacing w:after="0" w:line="22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Redmond, WA, May 12, 2026 </w:t>
      </w:r>
      <w:r>
        <w:rPr>
          <w:rFonts w:ascii="Times New Roman" w:cs="Times New Roman" w:eastAsia="Times New Roman" w:hAnsi="Times New Roman"/>
          <w:sz w:val="18"/>
          <w:szCs w:val="18"/>
          <w:color w:val="auto"/>
        </w:rPr>
        <w:t>– Hour Loop, Inc. (NASDAQ: HOUR) (“Hour Loop” or the “Company”), a leading online retailer, announces its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operational results for the quarter ended March 31, 2026.</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 for First Quarter of 2026:</w:t>
      </w:r>
    </w:p>
    <w:p>
      <w:pPr>
        <w:spacing w:after="0" w:line="229"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increased 16% to $29.9 million, compared to $25.8 million in the year-ago period;</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increased to $0.82 million, compared to $0.65 million in the year-ago period; and</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used in operating activities was $2.2 million, compared to cash used in operating activities of $0.0 million in the year-ago period.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Commentary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pleased to share our first quarter 2026 financial results as we kicked off the year with strong momentum,” said Sam Lai, CEO and interim CFO of Hour Loop. “Revenue grew 16% year-over-year, supported by solid demand, stronger execution and the continued strength of our operating strategy.”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margin was modestly lower compared to the year-ago period, primarily due to higher inbound costs and storage fees, as we took a more proactive approach to inventory purchasing following the discontinuation of the platform’s labeling service. While this approach resulted in higher inventory levels, we believe maintaining a stronger inventory position is important to supporting product availability and more stable sales performance over time.”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remained disciplined in managing operating expenses, which increased only 12% year-over-year. This reflects our continued focus on operational efficiency and our ability to support business growth while maintaining cost control. While this strategy also resulted in a significant increase in inventory levels, we believe the enhanced inventory position supports improved product availability and more stable sales performance going forward.”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would like to thank our team members around the world for their continued dedication and contributions, as well as our shareholders for their continued trust and support. We remain focused on reinforcing the foundation we have built, while positioning the Company for future opportunities. We believe that everything we are doing today—strengthening our operations, improving efficiency, expanding opportunities and maintaining financial discipline—represents a critical building block for sustainable growth and long-term value creation.”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First Quarter of 2026 Financial Results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revenues in the first quarter of 2026 were $29.9 million, compared to $25.8 million in the same period last year. The increase was primarily driven by expanded inventory availability, which supported improved product availability and sales execution.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profit as a percentage of net revenues decreased to 53.5%, compared to 54.7% in the same period last year. The decrease was mainly driven by higher storage fees and inbound costs resulting from increased purchasing activity and a larger inventory base.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expenses as a percentage of net revenues in the first quarter of 2026 decreased to 49.7%, compared to 51.2% in the same period last year. The decrease was mainly attributable to greater operating leverage and continued efficiency improvements.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income in the first quarter of 2026 was $0.82 million, or $0.02 per diluted share, compared to net income of $0.65 million, or $0.02 per diluted share, in the same period last year. The increase was driven by increased costs and decreased expenses because of the reasons mentioned above.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the Company had $0.9 million in cash and cash equivalents, compared to $3.8 million as of December 31, 2025. This decrease was driven by payments to related parties and additional investment in inventory.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 Year 2026 Financial Outlook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Hour Loop reaffirms its guidance for the full year, anticipating 2026 net revenue to be in the range of $143.0 million to $163.0 million, representing flat to 15% year-over-year growth. The Company continues to expect 2026 net income to be in the range of $0.75 million to $1.5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Hour Loop, Inc.</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Hour Loop is an online retailer engaged in e-commerce retailing in the U.S. market. It has operated as a third-party seller on </w:t>
      </w:r>
      <w:r>
        <w:rPr>
          <w:rFonts w:ascii="Times New Roman" w:cs="Times New Roman" w:eastAsia="Times New Roman" w:hAnsi="Times New Roman"/>
          <w:sz w:val="18"/>
          <w:szCs w:val="18"/>
          <w:i w:val="1"/>
          <w:iCs w:val="1"/>
          <w:u w:val="single" w:color="auto"/>
          <w:color w:val="auto"/>
        </w:rPr>
        <w:t>www.amazon.com</w:t>
      </w:r>
      <w:r>
        <w:rPr>
          <w:rFonts w:ascii="Times New Roman" w:cs="Times New Roman" w:eastAsia="Times New Roman" w:hAnsi="Times New Roman"/>
          <w:sz w:val="18"/>
          <w:szCs w:val="18"/>
          <w:color w:val="auto"/>
        </w:rPr>
        <w:t xml:space="preserve"> and has sold merchandise on its website at </w:t>
      </w:r>
      <w:r>
        <w:rPr>
          <w:rFonts w:ascii="Times New Roman" w:cs="Times New Roman" w:eastAsia="Times New Roman" w:hAnsi="Times New Roman"/>
          <w:sz w:val="18"/>
          <w:szCs w:val="18"/>
          <w:i w:val="1"/>
          <w:iCs w:val="1"/>
          <w:u w:val="single" w:color="auto"/>
          <w:color w:val="auto"/>
        </w:rPr>
        <w:t>www.hourloop.com</w:t>
      </w:r>
      <w:r>
        <w:rPr>
          <w:rFonts w:ascii="Times New Roman" w:cs="Times New Roman" w:eastAsia="Times New Roman" w:hAnsi="Times New Roman"/>
          <w:sz w:val="18"/>
          <w:szCs w:val="18"/>
          <w:color w:val="auto"/>
        </w:rPr>
        <w:t xml:space="preserve"> since 2013. Hour Loop further expanded its operations to other marketplaces such as Walmart, eBay, and Etsy. To date, Hour Loop has generated practically all its revenue as a third-party seller on </w:t>
      </w:r>
      <w:r>
        <w:rPr>
          <w:rFonts w:ascii="Times New Roman" w:cs="Times New Roman" w:eastAsia="Times New Roman" w:hAnsi="Times New Roman"/>
          <w:sz w:val="18"/>
          <w:szCs w:val="18"/>
          <w:i w:val="1"/>
          <w:iCs w:val="1"/>
          <w:u w:val="single" w:color="auto"/>
          <w:color w:val="auto"/>
        </w:rPr>
        <w:t>www.amazon.com</w:t>
      </w:r>
      <w:r>
        <w:rPr>
          <w:rFonts w:ascii="Times New Roman" w:cs="Times New Roman" w:eastAsia="Times New Roman" w:hAnsi="Times New Roman"/>
          <w:sz w:val="18"/>
          <w:szCs w:val="18"/>
          <w:color w:val="auto"/>
        </w:rPr>
        <w:t xml:space="preserve"> and only a negligible amount of revenue from its own website and other marketplaces. Hour Loop manages more than 100,000 stock-keeping units (“SKUs”). Product categories include home/garden décor, toys, kitchenware, apparel, and electronics. Hour Loop’s primary strategy is to bring most of its vendors’ product selections to the customers. It has advanced software that assists Hour Loop in identifying product gaps so it can keep such products in stock year-round, including the entirety of the last quarter (holiday season) of the calendar year. In upcoming years, Hour Loop plans to expand its business rapidly by increasing the number of business managers, vendors, and SKUs.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press release contains statements that constitute “forward-looking statements,” including with respect to Hour Loop’s business strategy, product development and industry trends. Forward-looking statements are subject to numerous conditions, many of which are beyond the control of Hour Loop. While Hour Loop believes these forward-looking statements are reasonable, undue reliance should not be placed on any such forward-looking statements, which are based on information available to Hour Loop on the date of this release. These forward-looking statements are based upon current estimates and assumptions and are subject to various risks and uncertainties, including, without limitation, those set forth in Hour Loop’s filings with the Securities and Exchange Commission, as the same may be updated from time to time. Thus, actual results could be materially different. Hour Loop undertakes no obligation to update these statements whether as a result of new information, future events or otherwise, after the date of this release, except as required by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Finance Department, Hour Loop,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finance@hourloop.com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HOUR LOOP,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Dollars, except for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March 31, 2026 and December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March 31, 2026</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December 31, 2025</w:t>
            </w:r>
          </w:p>
        </w:tc>
      </w:tr>
      <w:tr>
        <w:trPr>
          <w:trHeight w:val="210"/>
        </w:trPr>
        <w:tc>
          <w:tcPr>
            <w:tcW w:w="6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992,886</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3,792,033</w:t>
            </w: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865,136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235,959</w:t>
            </w:r>
          </w:p>
        </w:tc>
      </w:tr>
      <w:tr>
        <w:trPr>
          <w:trHeight w:val="216"/>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 net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21,087,764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18,298,935</w:t>
            </w:r>
          </w:p>
        </w:tc>
      </w:tr>
      <w:tr>
        <w:trPr>
          <w:trHeight w:val="229"/>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815,044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619,261</w:t>
            </w:r>
          </w:p>
        </w:tc>
      </w:tr>
      <w:tr>
        <w:trPr>
          <w:trHeight w:val="209"/>
        </w:trPr>
        <w:tc>
          <w:tcPr>
            <w:tcW w:w="6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23,760,830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22,946,188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87,666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95,917</w:t>
            </w: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assets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398,429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609,964</w:t>
            </w:r>
          </w:p>
        </w:tc>
      </w:tr>
      <w:tr>
        <w:trPr>
          <w:trHeight w:val="229"/>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lease assets</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145,424</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169,368</w:t>
            </w:r>
          </w:p>
        </w:tc>
      </w:tr>
      <w:tr>
        <w:trPr>
          <w:trHeight w:val="21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Total non-current assets</w:t>
            </w: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631,519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875,249</w:t>
            </w:r>
          </w:p>
        </w:tc>
        <w:tc>
          <w:tcPr>
            <w:tcW w:w="100" w:type="dxa"/>
            <w:vAlign w:val="bottom"/>
          </w:tcPr>
          <w:p>
            <w:pPr>
              <w:spacing w:after="0"/>
              <w:rPr>
                <w:sz w:val="18"/>
                <w:szCs w:val="18"/>
                <w:color w:val="auto"/>
              </w:rPr>
            </w:pPr>
          </w:p>
        </w:tc>
      </w:tr>
      <w:tr>
        <w:trPr>
          <w:trHeight w:val="243"/>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24,392,349</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23,821,437</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6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9,784,011</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6,200,526</w:t>
            </w: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Credit cards payable</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3,068,467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3,707,976</w:t>
            </w:r>
          </w:p>
        </w:tc>
      </w:tr>
      <w:tr>
        <w:trPr>
          <w:trHeight w:val="216"/>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loan</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626,076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637,348</w:t>
            </w: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liabilities-current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90,728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92,362</w:t>
            </w:r>
          </w:p>
        </w:tc>
      </w:tr>
      <w:tr>
        <w:trPr>
          <w:trHeight w:val="216"/>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105,962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51,147</w:t>
            </w: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764,060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2,226,387</w:t>
            </w:r>
          </w:p>
        </w:tc>
      </w:tr>
      <w:tr>
        <w:trPr>
          <w:trHeight w:val="230"/>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Due to related parties</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2,060,418</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3,810,418</w:t>
            </w:r>
          </w:p>
        </w:tc>
      </w:tr>
      <w:tr>
        <w:trPr>
          <w:trHeight w:val="209"/>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16,499,722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16,726,164</w:t>
            </w:r>
          </w:p>
        </w:tc>
        <w:tc>
          <w:tcPr>
            <w:tcW w:w="10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liabilities-non-current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60,081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83,271</w:t>
            </w:r>
          </w:p>
        </w:tc>
      </w:tr>
      <w:tr>
        <w:trPr>
          <w:trHeight w:val="230"/>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17,822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18,143</w:t>
            </w:r>
          </w:p>
        </w:tc>
      </w:tr>
      <w:tr>
        <w:trPr>
          <w:trHeight w:val="210"/>
        </w:trPr>
        <w:tc>
          <w:tcPr>
            <w:tcW w:w="6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77,903</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101,414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16,577,625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16,827,578</w:t>
            </w:r>
          </w:p>
        </w:tc>
        <w:tc>
          <w:tcPr>
            <w:tcW w:w="10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67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10,000,000 shares authorized, none issued and</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as of March 31, 2026 and December 31, 2025</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7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 par value, 300,000,000 shares authorized, 35,183,890 and</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35,176,320 shares issued and outstanding as of March 31, 2026 and December 31, 2025,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3,518</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3,518</w:t>
            </w: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5,877,682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5,862,683</w:t>
            </w:r>
          </w:p>
        </w:tc>
      </w:tr>
      <w:tr>
        <w:trPr>
          <w:trHeight w:val="216"/>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1,933,156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1,109,674</w:t>
            </w:r>
          </w:p>
        </w:tc>
      </w:tr>
      <w:tr>
        <w:trPr>
          <w:trHeight w:val="230"/>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17,984</w:t>
            </w:r>
          </w:p>
        </w:tc>
      </w:tr>
      <w:tr>
        <w:trPr>
          <w:trHeight w:val="210"/>
        </w:trPr>
        <w:tc>
          <w:tcPr>
            <w:tcW w:w="6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7,814,724</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6,993,859</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6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24,392,349</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23,821,437</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footnotes are an integral part of these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HOUR LOOP,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Dollars, except for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 and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20" w:type="dxa"/>
            <w:vAlign w:val="bottom"/>
            <w:gridSpan w:val="6"/>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55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9"/>
                <w:szCs w:val="19"/>
                <w:color w:val="auto"/>
              </w:rPr>
            </w:pPr>
          </w:p>
        </w:tc>
      </w:tr>
      <w:tr>
        <w:trPr>
          <w:trHeight w:val="209"/>
        </w:trPr>
        <w:tc>
          <w:tcPr>
            <w:tcW w:w="5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net</w:t>
            </w:r>
          </w:p>
        </w:tc>
        <w:tc>
          <w:tcPr>
            <w:tcW w:w="1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29,930,342</w:t>
            </w:r>
          </w:p>
        </w:tc>
        <w:tc>
          <w:tcPr>
            <w:tcW w:w="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25,837,090</w:t>
            </w:r>
          </w:p>
        </w:tc>
      </w:tr>
      <w:tr>
        <w:trPr>
          <w:trHeight w:val="230"/>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(13,912,567)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(11,691,792)</w:t>
            </w:r>
          </w:p>
        </w:tc>
      </w:tr>
      <w:tr>
        <w:trPr>
          <w:trHeight w:val="209"/>
        </w:trPr>
        <w:tc>
          <w:tcPr>
            <w:tcW w:w="5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16,017,775</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14,145,298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12,598,641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11,246,997</w:t>
            </w:r>
          </w:p>
        </w:tc>
      </w:tr>
      <w:tr>
        <w:trPr>
          <w:trHeight w:val="229"/>
        </w:trPr>
        <w:tc>
          <w:tcPr>
            <w:tcW w:w="5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2,277,006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1,977,436</w:t>
            </w:r>
          </w:p>
        </w:tc>
      </w:tr>
      <w:tr>
        <w:trPr>
          <w:trHeight w:val="209"/>
        </w:trPr>
        <w:tc>
          <w:tcPr>
            <w:tcW w:w="5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14,875,647</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13,224,433</w:t>
            </w:r>
          </w:p>
        </w:tc>
        <w:tc>
          <w:tcPr>
            <w:tcW w:w="100" w:type="dxa"/>
            <w:vAlign w:val="bottom"/>
            <w:tcBorders>
              <w:bottom w:val="single" w:sz="8" w:color="CCEEFF"/>
            </w:tcBorders>
          </w:tcPr>
          <w:p>
            <w:pPr>
              <w:spacing w:after="0"/>
              <w:rPr>
                <w:sz w:val="18"/>
                <w:szCs w:val="18"/>
                <w:color w:val="auto"/>
              </w:rPr>
            </w:pPr>
          </w:p>
        </w:tc>
      </w:tr>
      <w:tr>
        <w:trPr>
          <w:trHeight w:val="210"/>
        </w:trPr>
        <w:tc>
          <w:tcPr>
            <w:tcW w:w="55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1,142,128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920,865</w:t>
            </w:r>
          </w:p>
        </w:tc>
      </w:tr>
      <w:tr>
        <w:trPr>
          <w:trHeight w:val="216"/>
        </w:trPr>
        <w:tc>
          <w:tcPr>
            <w:tcW w:w="55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 income</w:t>
            </w:r>
          </w:p>
        </w:tc>
        <w:tc>
          <w:tcPr>
            <w:tcW w:w="1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(1,808)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301</w:t>
            </w:r>
          </w:p>
        </w:tc>
      </w:tr>
      <w:tr>
        <w:trPr>
          <w:trHeight w:val="216"/>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(33,938)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(47,055)</w:t>
            </w:r>
          </w:p>
        </w:tc>
      </w:tr>
      <w:tr>
        <w:trPr>
          <w:trHeight w:val="229"/>
        </w:trPr>
        <w:tc>
          <w:tcPr>
            <w:tcW w:w="5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14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26,758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61,825</w:t>
            </w:r>
          </w:p>
        </w:tc>
      </w:tr>
      <w:tr>
        <w:trPr>
          <w:trHeight w:val="210"/>
        </w:trPr>
        <w:tc>
          <w:tcPr>
            <w:tcW w:w="5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140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(8,988</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15,071</w:t>
            </w:r>
          </w:p>
        </w:tc>
        <w:tc>
          <w:tcPr>
            <w:tcW w:w="100" w:type="dxa"/>
            <w:vAlign w:val="bottom"/>
            <w:tcBorders>
              <w:bottom w:val="single" w:sz="8" w:color="CCEEFF"/>
            </w:tcBorders>
          </w:tcPr>
          <w:p>
            <w:pPr>
              <w:spacing w:after="0"/>
              <w:rPr>
                <w:sz w:val="18"/>
                <w:szCs w:val="18"/>
                <w:color w:val="auto"/>
              </w:rPr>
            </w:pPr>
          </w:p>
        </w:tc>
      </w:tr>
      <w:tr>
        <w:trPr>
          <w:trHeight w:val="209"/>
        </w:trPr>
        <w:tc>
          <w:tcPr>
            <w:tcW w:w="55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1,133,140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935,936</w:t>
            </w:r>
          </w:p>
        </w:tc>
      </w:tr>
      <w:tr>
        <w:trPr>
          <w:trHeight w:val="230"/>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4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(309,658)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(281,419)</w:t>
            </w:r>
          </w:p>
        </w:tc>
      </w:tr>
      <w:tr>
        <w:trPr>
          <w:trHeight w:val="210"/>
        </w:trPr>
        <w:tc>
          <w:tcPr>
            <w:tcW w:w="5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823,482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654,517</w:t>
            </w:r>
          </w:p>
        </w:tc>
      </w:tr>
      <w:tr>
        <w:trPr>
          <w:trHeight w:val="216"/>
        </w:trPr>
        <w:tc>
          <w:tcPr>
            <w:tcW w:w="5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(17,616)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(13,536)</w:t>
            </w:r>
          </w:p>
        </w:tc>
      </w:tr>
      <w:tr>
        <w:trPr>
          <w:trHeight w:val="209"/>
        </w:trPr>
        <w:tc>
          <w:tcPr>
            <w:tcW w:w="55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8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18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805,866</w:t>
            </w: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640,981</w:t>
            </w:r>
          </w:p>
        </w:tc>
      </w:tr>
      <w:tr>
        <w:trPr>
          <w:trHeight w:val="197"/>
        </w:trPr>
        <w:tc>
          <w:tcPr>
            <w:tcW w:w="558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earnings per common share</w:t>
            </w:r>
          </w:p>
        </w:tc>
        <w:tc>
          <w:tcPr>
            <w:tcW w:w="18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0.02</w:t>
            </w: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0.02</w:t>
            </w:r>
          </w:p>
        </w:tc>
      </w:tr>
      <w:tr>
        <w:trPr>
          <w:trHeight w:val="243"/>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number of common shares outstanding</w:t>
            </w:r>
          </w:p>
        </w:tc>
        <w:tc>
          <w:tcPr>
            <w:tcW w:w="14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35,183,554</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35,151,351</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footnotes are an integral part of these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HOUR LOOP,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 and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60" w:type="dxa"/>
            <w:vAlign w:val="bottom"/>
            <w:gridSpan w:val="7"/>
          </w:tcPr>
          <w:p>
            <w:pPr>
              <w:jc w:val="right"/>
              <w:ind w:right="861"/>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60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78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9"/>
                <w:szCs w:val="19"/>
                <w:color w:val="auto"/>
              </w:rPr>
            </w:pPr>
          </w:p>
        </w:tc>
      </w:tr>
      <w:tr>
        <w:trPr>
          <w:trHeight w:val="209"/>
        </w:trPr>
        <w:tc>
          <w:tcPr>
            <w:tcW w:w="6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9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06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823,482</w:t>
            </w: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654,517</w:t>
            </w:r>
          </w:p>
        </w:tc>
      </w:tr>
      <w:tr>
        <w:trPr>
          <w:trHeight w:val="216"/>
        </w:trPr>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Reconciliation of net income to net cash used in operating activities:</w:t>
            </w:r>
          </w:p>
        </w:tc>
        <w:tc>
          <w:tcPr>
            <w:tcW w:w="9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expenses</w:t>
            </w: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12,245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14,126</w:t>
            </w:r>
          </w:p>
        </w:tc>
      </w:tr>
      <w:tr>
        <w:trPr>
          <w:trHeight w:val="216"/>
        </w:trPr>
        <w:tc>
          <w:tcPr>
            <w:tcW w:w="6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operating lease right-of-use lease assets</w:t>
            </w:r>
          </w:p>
        </w:tc>
        <w:tc>
          <w:tcPr>
            <w:tcW w:w="9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21,038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55,383</w:t>
            </w:r>
          </w:p>
        </w:tc>
      </w:tr>
      <w:tr>
        <w:trPr>
          <w:trHeight w:val="216"/>
        </w:trPr>
        <w:tc>
          <w:tcPr>
            <w:tcW w:w="6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tax assets</w:t>
            </w: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211,535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238,899</w:t>
            </w:r>
          </w:p>
        </w:tc>
      </w:tr>
      <w:tr>
        <w:trPr>
          <w:trHeight w:val="216"/>
        </w:trPr>
        <w:tc>
          <w:tcPr>
            <w:tcW w:w="6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14,999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6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Inventory allowance</w:t>
            </w: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409,455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497,347</w:t>
            </w:r>
          </w:p>
        </w:tc>
      </w:tr>
      <w:tr>
        <w:trPr>
          <w:trHeight w:val="216"/>
        </w:trPr>
        <w:tc>
          <w:tcPr>
            <w:tcW w:w="6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foreign exchange gain</w:t>
            </w:r>
          </w:p>
        </w:tc>
        <w:tc>
          <w:tcPr>
            <w:tcW w:w="9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(35,568)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(24,826)</w:t>
            </w:r>
          </w:p>
        </w:tc>
      </w:tr>
      <w:tr>
        <w:trPr>
          <w:trHeight w:val="216"/>
        </w:trPr>
        <w:tc>
          <w:tcPr>
            <w:tcW w:w="6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Accounts receivable</w:t>
            </w:r>
          </w:p>
        </w:tc>
        <w:tc>
          <w:tcPr>
            <w:tcW w:w="9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(629,177)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1,256,305</w:t>
            </w:r>
          </w:p>
        </w:tc>
      </w:tr>
      <w:tr>
        <w:trPr>
          <w:trHeight w:val="216"/>
        </w:trPr>
        <w:tc>
          <w:tcPr>
            <w:tcW w:w="6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Inventory</w:t>
            </w: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w w:val="97"/>
              </w:rPr>
              <w:t>(3,198,284)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(1,746,197)</w:t>
            </w:r>
          </w:p>
        </w:tc>
      </w:tr>
      <w:tr>
        <w:trPr>
          <w:trHeight w:val="216"/>
        </w:trPr>
        <w:tc>
          <w:tcPr>
            <w:tcW w:w="60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(195,783)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(286,791)</w:t>
            </w:r>
          </w:p>
        </w:tc>
      </w:tr>
      <w:tr>
        <w:trPr>
          <w:trHeight w:val="216"/>
        </w:trPr>
        <w:tc>
          <w:tcPr>
            <w:tcW w:w="6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Accounts payable</w:t>
            </w: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3,583,485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2,683,231</w:t>
            </w:r>
          </w:p>
        </w:tc>
      </w:tr>
      <w:tr>
        <w:trPr>
          <w:trHeight w:val="216"/>
        </w:trPr>
        <w:tc>
          <w:tcPr>
            <w:tcW w:w="60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Credit cards payable</w:t>
            </w:r>
          </w:p>
        </w:tc>
        <w:tc>
          <w:tcPr>
            <w:tcW w:w="9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(639,509)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(985,515)</w:t>
            </w:r>
          </w:p>
        </w:tc>
      </w:tr>
      <w:tr>
        <w:trPr>
          <w:trHeight w:val="216"/>
        </w:trPr>
        <w:tc>
          <w:tcPr>
            <w:tcW w:w="6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w w:val="97"/>
              </w:rPr>
              <w:t>(2,612,327)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(2,338,386)</w:t>
            </w:r>
          </w:p>
        </w:tc>
      </w:tr>
      <w:tr>
        <w:trPr>
          <w:trHeight w:val="216"/>
        </w:trPr>
        <w:tc>
          <w:tcPr>
            <w:tcW w:w="60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(21,809)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(56,984)</w:t>
            </w:r>
          </w:p>
        </w:tc>
      </w:tr>
      <w:tr>
        <w:trPr>
          <w:trHeight w:val="230"/>
        </w:trPr>
        <w:tc>
          <w:tcPr>
            <w:tcW w:w="6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Income taxes payable</w:t>
            </w:r>
          </w:p>
        </w:tc>
        <w:tc>
          <w:tcPr>
            <w:tcW w:w="9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54,815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(2,201,403)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9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(5,662)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(720)</w:t>
            </w:r>
          </w:p>
        </w:tc>
      </w:tr>
      <w:tr>
        <w:trPr>
          <w:trHeight w:val="209"/>
        </w:trPr>
        <w:tc>
          <w:tcPr>
            <w:tcW w:w="6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9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to related parties</w:t>
            </w:r>
          </w:p>
        </w:tc>
        <w:tc>
          <w:tcPr>
            <w:tcW w:w="9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(600,000)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(839,000)</w:t>
            </w:r>
          </w:p>
        </w:tc>
      </w:tr>
      <w:tr>
        <w:trPr>
          <w:trHeight w:val="210"/>
        </w:trPr>
        <w:tc>
          <w:tcPr>
            <w:tcW w:w="6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(839,000</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6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changes in foreign currency exchange rates</w:t>
            </w:r>
          </w:p>
        </w:tc>
        <w:tc>
          <w:tcPr>
            <w:tcW w:w="9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7,918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4,152</w:t>
            </w:r>
          </w:p>
        </w:tc>
      </w:tr>
      <w:tr>
        <w:trPr>
          <w:trHeight w:val="210"/>
        </w:trPr>
        <w:tc>
          <w:tcPr>
            <w:tcW w:w="6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w:t>
            </w:r>
          </w:p>
        </w:tc>
        <w:tc>
          <w:tcPr>
            <w:tcW w:w="9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w w:val="97"/>
              </w:rPr>
              <w:t>(2,799,147)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(859,459)</w:t>
            </w:r>
          </w:p>
        </w:tc>
      </w:tr>
      <w:tr>
        <w:trPr>
          <w:trHeight w:val="216"/>
        </w:trPr>
        <w:tc>
          <w:tcPr>
            <w:tcW w:w="6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beginning of period</w:t>
            </w:r>
          </w:p>
        </w:tc>
        <w:tc>
          <w:tcPr>
            <w:tcW w:w="9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3,792,033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2,119,581</w:t>
            </w:r>
          </w:p>
        </w:tc>
      </w:tr>
      <w:tr>
        <w:trPr>
          <w:trHeight w:val="210"/>
        </w:trPr>
        <w:tc>
          <w:tcPr>
            <w:tcW w:w="6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end of period</w:t>
            </w:r>
          </w:p>
        </w:tc>
        <w:tc>
          <w:tcPr>
            <w:tcW w:w="2060" w:type="dxa"/>
            <w:vAlign w:val="bottom"/>
            <w:gridSpan w:val="2"/>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992,886</w:t>
            </w:r>
          </w:p>
        </w:tc>
        <w:tc>
          <w:tcPr>
            <w:tcW w:w="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1,260,122</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60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9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206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5,302</w:t>
            </w: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4,986</w:t>
            </w:r>
          </w:p>
        </w:tc>
      </w:tr>
      <w:tr>
        <w:trPr>
          <w:trHeight w:val="216"/>
        </w:trPr>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income tax</w:t>
            </w:r>
          </w:p>
        </w:tc>
        <w:tc>
          <w:tcPr>
            <w:tcW w:w="2060" w:type="dxa"/>
            <w:vAlign w:val="bottom"/>
            <w:gridSpan w:val="2"/>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2,630</w:t>
            </w:r>
          </w:p>
        </w:tc>
        <w:tc>
          <w:tcPr>
            <w:tcW w:w="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6,230</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footnotes are an integral part of these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2026-05-12T15:12:13Z</dcterms:created>
  <dcterms:modified xsi:type="dcterms:W3CDTF">2026-05-12T15:12:13Z</dcterms:modified>
</cp:coreProperties>
</file>